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921FA" w14:textId="77777777" w:rsidR="00512164" w:rsidRDefault="00D9386E" w:rsidP="001F3020">
      <w:pPr>
        <w:pStyle w:val="Title"/>
      </w:pPr>
      <w:r>
        <w:t>Use Case Title</w:t>
      </w:r>
    </w:p>
    <w:p w14:paraId="54F97A17" w14:textId="3CF99C3A" w:rsidR="00D9386E" w:rsidRDefault="004E2EEC">
      <w:r>
        <w:t xml:space="preserve">Residential </w:t>
      </w:r>
      <w:r w:rsidRPr="004E2EEC">
        <w:t>Peak Demand Management (Evening Ramp)</w:t>
      </w:r>
    </w:p>
    <w:p w14:paraId="01CDB161" w14:textId="77777777" w:rsidR="00D9386E" w:rsidRDefault="001F3020" w:rsidP="001F3020">
      <w:pPr>
        <w:pStyle w:val="Heading1"/>
      </w:pPr>
      <w:r>
        <w:t>Use Case Summary</w:t>
      </w:r>
    </w:p>
    <w:p w14:paraId="4418EA0E" w14:textId="636CD160" w:rsidR="00DE65C4" w:rsidRDefault="00D55549" w:rsidP="006806BA">
      <w:pPr>
        <w:jc w:val="both"/>
        <w:rPr>
          <w:sz w:val="22"/>
          <w:szCs w:val="22"/>
        </w:rPr>
      </w:pPr>
      <w:r>
        <w:rPr>
          <w:sz w:val="22"/>
          <w:szCs w:val="22"/>
        </w:rPr>
        <w:t>A</w:t>
      </w:r>
      <w:r w:rsidR="004E2EEC">
        <w:rPr>
          <w:sz w:val="22"/>
          <w:szCs w:val="22"/>
        </w:rPr>
        <w:t xml:space="preserve"> residential peak demand occurs predominantly in the late afternoon through the early evening hours. This is when customers are returning home after work; turn on the lights, turn on the heating system or the air conditioning system depending on the season of the year, turn on plasma TVs, </w:t>
      </w:r>
      <w:r w:rsidR="002C2CD0">
        <w:rPr>
          <w:sz w:val="22"/>
          <w:szCs w:val="22"/>
        </w:rPr>
        <w:t xml:space="preserve">plug in laptops and smart phones, </w:t>
      </w:r>
      <w:r w:rsidR="004E2EEC">
        <w:rPr>
          <w:sz w:val="22"/>
          <w:szCs w:val="22"/>
        </w:rPr>
        <w:t xml:space="preserve">and plug in their electric vehicles. </w:t>
      </w:r>
    </w:p>
    <w:p w14:paraId="1C12404B" w14:textId="77777777" w:rsidR="00DE65C4" w:rsidRDefault="00DE65C4" w:rsidP="006806BA">
      <w:pPr>
        <w:jc w:val="both"/>
        <w:rPr>
          <w:sz w:val="22"/>
          <w:szCs w:val="22"/>
        </w:rPr>
      </w:pPr>
    </w:p>
    <w:p w14:paraId="55C89025" w14:textId="237B571E" w:rsidR="00E31C23" w:rsidRDefault="00D55549" w:rsidP="006806BA">
      <w:pPr>
        <w:jc w:val="both"/>
        <w:rPr>
          <w:sz w:val="22"/>
          <w:szCs w:val="22"/>
        </w:rPr>
      </w:pPr>
      <w:r>
        <w:rPr>
          <w:sz w:val="22"/>
          <w:szCs w:val="22"/>
        </w:rPr>
        <w:t xml:space="preserve">One of the issues </w:t>
      </w:r>
      <w:r w:rsidR="00A774E4">
        <w:rPr>
          <w:sz w:val="22"/>
          <w:szCs w:val="22"/>
        </w:rPr>
        <w:t xml:space="preserve">that exacerbates the negative impact of this peak demand on the grid is that </w:t>
      </w:r>
      <w:r w:rsidR="004E2EEC" w:rsidRPr="004E2EEC">
        <w:rPr>
          <w:sz w:val="22"/>
          <w:szCs w:val="22"/>
        </w:rPr>
        <w:t xml:space="preserve">PV generation recedes </w:t>
      </w:r>
      <w:r w:rsidR="00A774E4">
        <w:rPr>
          <w:sz w:val="22"/>
          <w:szCs w:val="22"/>
        </w:rPr>
        <w:t xml:space="preserve">in the late afternoon </w:t>
      </w:r>
      <w:r w:rsidR="002C2CD0">
        <w:rPr>
          <w:sz w:val="22"/>
          <w:szCs w:val="22"/>
        </w:rPr>
        <w:t>causing an under</w:t>
      </w:r>
      <w:r w:rsidR="004E2EEC" w:rsidRPr="004E2EEC">
        <w:rPr>
          <w:sz w:val="22"/>
          <w:szCs w:val="22"/>
        </w:rPr>
        <w:t xml:space="preserve"> supply </w:t>
      </w:r>
      <w:r w:rsidR="00A774E4">
        <w:rPr>
          <w:sz w:val="22"/>
          <w:szCs w:val="22"/>
        </w:rPr>
        <w:t>of energy generation required</w:t>
      </w:r>
      <w:r w:rsidR="002C2CD0">
        <w:rPr>
          <w:sz w:val="22"/>
          <w:szCs w:val="22"/>
        </w:rPr>
        <w:t xml:space="preserve"> </w:t>
      </w:r>
      <w:r w:rsidR="004E2EEC" w:rsidRPr="004E2EEC">
        <w:rPr>
          <w:sz w:val="22"/>
          <w:szCs w:val="22"/>
        </w:rPr>
        <w:t xml:space="preserve">to meet </w:t>
      </w:r>
      <w:r w:rsidR="00AC189D">
        <w:rPr>
          <w:sz w:val="22"/>
          <w:szCs w:val="22"/>
        </w:rPr>
        <w:t xml:space="preserve">this </w:t>
      </w:r>
      <w:r w:rsidR="004E2EEC" w:rsidRPr="004E2EEC">
        <w:rPr>
          <w:sz w:val="22"/>
          <w:szCs w:val="22"/>
        </w:rPr>
        <w:t>demand</w:t>
      </w:r>
      <w:r w:rsidR="002C2CD0">
        <w:rPr>
          <w:sz w:val="22"/>
          <w:szCs w:val="22"/>
        </w:rPr>
        <w:t xml:space="preserve">. </w:t>
      </w:r>
      <w:r w:rsidR="00291B5A" w:rsidRPr="00291B5A">
        <w:rPr>
          <w:sz w:val="22"/>
          <w:szCs w:val="22"/>
        </w:rPr>
        <w:t>The Independent System Operators (ISO) prepares to meet these upward ramps using conventional generation that includes many</w:t>
      </w:r>
      <w:r w:rsidR="00291B5A">
        <w:rPr>
          <w:sz w:val="22"/>
          <w:szCs w:val="22"/>
        </w:rPr>
        <w:t xml:space="preserve"> long-start resources needing </w:t>
      </w:r>
      <w:r w:rsidR="00291B5A" w:rsidRPr="00291B5A">
        <w:rPr>
          <w:sz w:val="22"/>
          <w:szCs w:val="22"/>
        </w:rPr>
        <w:t xml:space="preserve">time to come on line </w:t>
      </w:r>
      <w:r w:rsidR="00A774E4">
        <w:rPr>
          <w:sz w:val="22"/>
          <w:szCs w:val="22"/>
        </w:rPr>
        <w:t xml:space="preserve">to support the </w:t>
      </w:r>
      <w:r w:rsidR="00291B5A" w:rsidRPr="00291B5A">
        <w:rPr>
          <w:sz w:val="22"/>
          <w:szCs w:val="22"/>
        </w:rPr>
        <w:t xml:space="preserve">upcoming ramps. </w:t>
      </w:r>
      <w:r w:rsidR="00A774E4">
        <w:rPr>
          <w:sz w:val="22"/>
          <w:szCs w:val="22"/>
        </w:rPr>
        <w:t>This is relative to the</w:t>
      </w:r>
      <w:r w:rsidR="00291B5A">
        <w:rPr>
          <w:sz w:val="22"/>
          <w:szCs w:val="22"/>
        </w:rPr>
        <w:t xml:space="preserve"> </w:t>
      </w:r>
      <w:r w:rsidR="00AC189D" w:rsidRPr="00291B5A">
        <w:rPr>
          <w:sz w:val="22"/>
          <w:szCs w:val="22"/>
        </w:rPr>
        <w:t xml:space="preserve">California </w:t>
      </w:r>
      <w:r w:rsidR="00291B5A">
        <w:rPr>
          <w:sz w:val="22"/>
          <w:szCs w:val="22"/>
        </w:rPr>
        <w:t xml:space="preserve">Duck Curve </w:t>
      </w:r>
      <w:r w:rsidR="00A774E4">
        <w:rPr>
          <w:sz w:val="22"/>
          <w:szCs w:val="22"/>
        </w:rPr>
        <w:t xml:space="preserve">which </w:t>
      </w:r>
      <w:r w:rsidR="00291B5A">
        <w:rPr>
          <w:sz w:val="22"/>
          <w:szCs w:val="22"/>
        </w:rPr>
        <w:t xml:space="preserve">reflects </w:t>
      </w:r>
      <w:r w:rsidR="00DE65C4">
        <w:rPr>
          <w:sz w:val="22"/>
          <w:szCs w:val="22"/>
        </w:rPr>
        <w:t xml:space="preserve">that in 2020 the estimated </w:t>
      </w:r>
      <w:r w:rsidR="00A774E4">
        <w:rPr>
          <w:sz w:val="22"/>
          <w:szCs w:val="22"/>
        </w:rPr>
        <w:t xml:space="preserve">required ramp up in </w:t>
      </w:r>
      <w:r w:rsidR="00A30CA7">
        <w:rPr>
          <w:sz w:val="22"/>
          <w:szCs w:val="22"/>
        </w:rPr>
        <w:t xml:space="preserve">energy </w:t>
      </w:r>
      <w:r w:rsidR="00DE65C4">
        <w:rPr>
          <w:sz w:val="22"/>
          <w:szCs w:val="22"/>
        </w:rPr>
        <w:t xml:space="preserve">generation could be 13,000 MW during the period from </w:t>
      </w:r>
      <w:r w:rsidR="00A30CA7">
        <w:rPr>
          <w:sz w:val="22"/>
          <w:szCs w:val="22"/>
        </w:rPr>
        <w:t xml:space="preserve">5pm to 9pm. </w:t>
      </w:r>
    </w:p>
    <w:p w14:paraId="51994ED7" w14:textId="01726D6B" w:rsidR="00A30CA7" w:rsidRDefault="00A30CA7" w:rsidP="006806BA">
      <w:pPr>
        <w:jc w:val="both"/>
        <w:rPr>
          <w:sz w:val="22"/>
          <w:szCs w:val="22"/>
        </w:rPr>
      </w:pPr>
    </w:p>
    <w:p w14:paraId="1DDC5726" w14:textId="6C133D8C" w:rsidR="00A30CA7" w:rsidRPr="00291B5A" w:rsidRDefault="00631579" w:rsidP="006806BA">
      <w:pPr>
        <w:jc w:val="both"/>
        <w:rPr>
          <w:sz w:val="22"/>
          <w:szCs w:val="22"/>
        </w:rPr>
      </w:pPr>
      <w:r>
        <w:rPr>
          <w:sz w:val="22"/>
          <w:szCs w:val="22"/>
        </w:rPr>
        <w:t xml:space="preserve">This use case is to address mitigation of the peak demand in the residential sector through load management scenarios directed at affecting customer behavior for </w:t>
      </w:r>
      <w:r w:rsidR="001A39E0">
        <w:rPr>
          <w:sz w:val="22"/>
          <w:szCs w:val="22"/>
        </w:rPr>
        <w:t>PEV charging</w:t>
      </w:r>
      <w:r w:rsidR="00C92335">
        <w:rPr>
          <w:sz w:val="22"/>
          <w:szCs w:val="22"/>
        </w:rPr>
        <w:t xml:space="preserve"> which can represent an average </w:t>
      </w:r>
      <w:r w:rsidR="00151742">
        <w:rPr>
          <w:sz w:val="22"/>
          <w:szCs w:val="22"/>
        </w:rPr>
        <w:t>load of 3</w:t>
      </w:r>
      <w:r w:rsidR="00C92335">
        <w:rPr>
          <w:sz w:val="22"/>
          <w:szCs w:val="22"/>
        </w:rPr>
        <w:t xml:space="preserve"> to 5 </w:t>
      </w:r>
      <w:r w:rsidR="00151742">
        <w:rPr>
          <w:sz w:val="22"/>
          <w:szCs w:val="22"/>
        </w:rPr>
        <w:t>kilowatts</w:t>
      </w:r>
      <w:r w:rsidR="00C92335">
        <w:rPr>
          <w:sz w:val="22"/>
          <w:szCs w:val="22"/>
        </w:rPr>
        <w:t xml:space="preserve"> per </w:t>
      </w:r>
      <w:r w:rsidR="000F50A0">
        <w:rPr>
          <w:sz w:val="22"/>
          <w:szCs w:val="22"/>
        </w:rPr>
        <w:t xml:space="preserve">PEV </w:t>
      </w:r>
      <w:r w:rsidR="00C92335">
        <w:rPr>
          <w:sz w:val="22"/>
          <w:szCs w:val="22"/>
        </w:rPr>
        <w:t>household</w:t>
      </w:r>
      <w:r w:rsidR="001A39E0">
        <w:rPr>
          <w:sz w:val="22"/>
          <w:szCs w:val="22"/>
        </w:rPr>
        <w:t xml:space="preserve">. </w:t>
      </w:r>
      <w:r w:rsidR="00093406">
        <w:rPr>
          <w:sz w:val="22"/>
          <w:szCs w:val="22"/>
        </w:rPr>
        <w:t xml:space="preserve">1.5 million PEVs in California could constitute up to 4.5 GW of load. </w:t>
      </w:r>
      <w:bookmarkStart w:id="0" w:name="_GoBack"/>
      <w:bookmarkEnd w:id="0"/>
      <w:r w:rsidR="001A39E0">
        <w:rPr>
          <w:sz w:val="22"/>
          <w:szCs w:val="22"/>
        </w:rPr>
        <w:t xml:space="preserve">The PEV load management </w:t>
      </w:r>
      <w:r w:rsidR="00590915">
        <w:rPr>
          <w:sz w:val="22"/>
          <w:szCs w:val="22"/>
        </w:rPr>
        <w:t>methodologies</w:t>
      </w:r>
      <w:r w:rsidR="001A39E0">
        <w:rPr>
          <w:sz w:val="22"/>
          <w:szCs w:val="22"/>
        </w:rPr>
        <w:t xml:space="preserve"> are to incl</w:t>
      </w:r>
      <w:r w:rsidR="00C92335">
        <w:rPr>
          <w:sz w:val="22"/>
          <w:szCs w:val="22"/>
        </w:rPr>
        <w:t>ude Dynamic Pricing</w:t>
      </w:r>
      <w:r w:rsidR="001A39E0">
        <w:rPr>
          <w:sz w:val="22"/>
          <w:szCs w:val="22"/>
        </w:rPr>
        <w:t>, cu</w:t>
      </w:r>
      <w:r w:rsidR="00590915">
        <w:rPr>
          <w:sz w:val="22"/>
          <w:szCs w:val="22"/>
        </w:rPr>
        <w:t>rtailment (Demand Response</w:t>
      </w:r>
      <w:r w:rsidR="001A39E0">
        <w:rPr>
          <w:sz w:val="22"/>
          <w:szCs w:val="22"/>
        </w:rPr>
        <w:t xml:space="preserve">), and </w:t>
      </w:r>
      <w:r w:rsidR="001D5DFE">
        <w:rPr>
          <w:sz w:val="22"/>
          <w:szCs w:val="22"/>
        </w:rPr>
        <w:t xml:space="preserve">integrated </w:t>
      </w:r>
      <w:r w:rsidR="00590915">
        <w:rPr>
          <w:sz w:val="22"/>
          <w:szCs w:val="22"/>
        </w:rPr>
        <w:t xml:space="preserve">distributed energy resource (DER) </w:t>
      </w:r>
      <w:r w:rsidR="001A39E0">
        <w:rPr>
          <w:sz w:val="22"/>
          <w:szCs w:val="22"/>
        </w:rPr>
        <w:t xml:space="preserve">utilization of vehicle to grid (Reverse Power Flow) technology. </w:t>
      </w:r>
    </w:p>
    <w:p w14:paraId="0A4EAD7E" w14:textId="62754C4A" w:rsidR="00D9386E" w:rsidRDefault="00D9386E" w:rsidP="001F3020">
      <w:pPr>
        <w:pStyle w:val="Heading1"/>
      </w:pPr>
      <w:r>
        <w:t>Use Case Detailed Narrative</w:t>
      </w:r>
    </w:p>
    <w:p w14:paraId="48FC8BE6" w14:textId="143124FD" w:rsidR="003C67A9" w:rsidRDefault="001D5DFE" w:rsidP="006806BA">
      <w:pPr>
        <w:jc w:val="both"/>
        <w:rPr>
          <w:sz w:val="22"/>
          <w:szCs w:val="22"/>
        </w:rPr>
      </w:pPr>
      <w:r>
        <w:rPr>
          <w:sz w:val="22"/>
          <w:szCs w:val="22"/>
        </w:rPr>
        <w:t xml:space="preserve">Residential PEV load management </w:t>
      </w:r>
      <w:r w:rsidR="00017DD3">
        <w:rPr>
          <w:sz w:val="22"/>
          <w:szCs w:val="22"/>
        </w:rPr>
        <w:t>methodologies</w:t>
      </w:r>
      <w:r>
        <w:rPr>
          <w:sz w:val="22"/>
          <w:szCs w:val="22"/>
        </w:rPr>
        <w:t xml:space="preserve"> </w:t>
      </w:r>
      <w:r w:rsidR="00017DD3">
        <w:rPr>
          <w:sz w:val="22"/>
          <w:szCs w:val="22"/>
        </w:rPr>
        <w:t xml:space="preserve">for mitigation of the evening peak demand ramp address the following scenarios. </w:t>
      </w:r>
    </w:p>
    <w:p w14:paraId="3C64BCDA" w14:textId="77777777" w:rsidR="00017DD3" w:rsidRDefault="00017DD3" w:rsidP="003C67A9">
      <w:pPr>
        <w:rPr>
          <w:sz w:val="22"/>
          <w:szCs w:val="22"/>
        </w:rPr>
      </w:pPr>
    </w:p>
    <w:p w14:paraId="373EF009" w14:textId="638E7F7E" w:rsidR="00017DD3" w:rsidRPr="00480DCF" w:rsidRDefault="00017DD3" w:rsidP="00017DD3">
      <w:pPr>
        <w:ind w:left="360"/>
        <w:rPr>
          <w:sz w:val="22"/>
          <w:szCs w:val="22"/>
        </w:rPr>
      </w:pPr>
      <w:r w:rsidRPr="00017DD3">
        <w:rPr>
          <w:b/>
          <w:sz w:val="22"/>
          <w:szCs w:val="22"/>
        </w:rPr>
        <w:t>Dynamic Pricing Signals</w:t>
      </w:r>
      <w:r w:rsidR="00480DCF">
        <w:rPr>
          <w:b/>
          <w:sz w:val="22"/>
          <w:szCs w:val="22"/>
        </w:rPr>
        <w:t xml:space="preserve"> </w:t>
      </w:r>
      <w:r w:rsidR="00AD0762">
        <w:rPr>
          <w:b/>
          <w:sz w:val="22"/>
          <w:szCs w:val="22"/>
        </w:rPr>
        <w:t>–</w:t>
      </w:r>
      <w:r w:rsidR="00480DCF">
        <w:rPr>
          <w:b/>
          <w:sz w:val="22"/>
          <w:szCs w:val="22"/>
        </w:rPr>
        <w:t xml:space="preserve"> </w:t>
      </w:r>
      <w:r w:rsidR="00AD0762">
        <w:rPr>
          <w:sz w:val="22"/>
          <w:szCs w:val="22"/>
        </w:rPr>
        <w:t>Utilities will define pricing for specific event</w:t>
      </w:r>
      <w:r w:rsidR="00590915">
        <w:rPr>
          <w:sz w:val="22"/>
          <w:szCs w:val="22"/>
        </w:rPr>
        <w:t>s</w:t>
      </w:r>
      <w:r w:rsidR="00AD0762">
        <w:rPr>
          <w:sz w:val="22"/>
          <w:szCs w:val="22"/>
        </w:rPr>
        <w:t xml:space="preserve"> or time of day durations based on energy wholesale market pricing determinations and variability in grid conditions</w:t>
      </w:r>
      <w:r w:rsidR="00151742">
        <w:rPr>
          <w:sz w:val="22"/>
          <w:szCs w:val="22"/>
        </w:rPr>
        <w:t xml:space="preserve"> such as end of daytime reduction in PV generation</w:t>
      </w:r>
      <w:r w:rsidR="00AD0762">
        <w:rPr>
          <w:sz w:val="22"/>
          <w:szCs w:val="22"/>
        </w:rPr>
        <w:t xml:space="preserve">. </w:t>
      </w:r>
    </w:p>
    <w:p w14:paraId="4E7E8B57" w14:textId="2630CAB7" w:rsidR="001A39E0" w:rsidRPr="005268DE" w:rsidRDefault="001A39E0" w:rsidP="006806BA">
      <w:pPr>
        <w:numPr>
          <w:ilvl w:val="0"/>
          <w:numId w:val="2"/>
        </w:numPr>
        <w:shd w:val="clear" w:color="auto" w:fill="FFFFFF"/>
        <w:spacing w:before="150" w:after="150"/>
        <w:jc w:val="both"/>
        <w:rPr>
          <w:rFonts w:eastAsia="Times New Roman" w:cstheme="minorHAnsi"/>
          <w:color w:val="333333"/>
          <w:sz w:val="22"/>
          <w:szCs w:val="22"/>
        </w:rPr>
      </w:pPr>
      <w:r w:rsidRPr="001A39E0">
        <w:rPr>
          <w:rFonts w:eastAsia="Times New Roman" w:cstheme="minorHAnsi"/>
          <w:b/>
          <w:bCs/>
          <w:color w:val="333333"/>
          <w:sz w:val="22"/>
          <w:szCs w:val="22"/>
        </w:rPr>
        <w:t>Real-time pricing (RTP)</w:t>
      </w:r>
      <w:r w:rsidRPr="001A39E0">
        <w:rPr>
          <w:rFonts w:eastAsia="Times New Roman" w:cstheme="minorHAnsi"/>
          <w:color w:val="333333"/>
          <w:sz w:val="22"/>
          <w:szCs w:val="22"/>
        </w:rPr>
        <w:t> </w:t>
      </w:r>
      <w:r w:rsidRPr="005268DE">
        <w:rPr>
          <w:rFonts w:eastAsia="Times New Roman" w:cstheme="minorHAnsi"/>
          <w:color w:val="333333"/>
          <w:sz w:val="22"/>
          <w:szCs w:val="22"/>
        </w:rPr>
        <w:t xml:space="preserve">- pricing rates </w:t>
      </w:r>
      <w:r w:rsidR="00017DD3">
        <w:rPr>
          <w:rFonts w:eastAsia="Times New Roman" w:cstheme="minorHAnsi"/>
          <w:color w:val="333333"/>
          <w:sz w:val="22"/>
          <w:szCs w:val="22"/>
        </w:rPr>
        <w:t xml:space="preserve">that </w:t>
      </w:r>
      <w:r w:rsidRPr="005268DE">
        <w:rPr>
          <w:rFonts w:eastAsia="Times New Roman" w:cstheme="minorHAnsi"/>
          <w:color w:val="333333"/>
          <w:sz w:val="22"/>
          <w:szCs w:val="22"/>
        </w:rPr>
        <w:t>generally apply to usage on an hourly basis</w:t>
      </w:r>
      <w:r w:rsidR="00AD0762">
        <w:rPr>
          <w:rFonts w:eastAsia="Times New Roman" w:cstheme="minorHAnsi"/>
          <w:color w:val="333333"/>
          <w:sz w:val="22"/>
          <w:szCs w:val="22"/>
        </w:rPr>
        <w:t xml:space="preserve"> due to unforeseen critical or emergency grid conditions</w:t>
      </w:r>
      <w:r w:rsidRPr="005268DE">
        <w:rPr>
          <w:rFonts w:eastAsia="Times New Roman" w:cstheme="minorHAnsi"/>
          <w:color w:val="333333"/>
          <w:sz w:val="22"/>
          <w:szCs w:val="22"/>
        </w:rPr>
        <w:t>.</w:t>
      </w:r>
    </w:p>
    <w:p w14:paraId="67B45CBF" w14:textId="77777777" w:rsidR="001A39E0" w:rsidRPr="005268DE" w:rsidRDefault="001A39E0" w:rsidP="006806BA">
      <w:pPr>
        <w:numPr>
          <w:ilvl w:val="0"/>
          <w:numId w:val="2"/>
        </w:numPr>
        <w:shd w:val="clear" w:color="auto" w:fill="FFFFFF"/>
        <w:spacing w:before="150" w:after="150"/>
        <w:jc w:val="both"/>
        <w:rPr>
          <w:rFonts w:eastAsia="Times New Roman" w:cstheme="minorHAnsi"/>
          <w:color w:val="333333"/>
          <w:sz w:val="22"/>
          <w:szCs w:val="22"/>
        </w:rPr>
      </w:pPr>
      <w:r w:rsidRPr="001A39E0">
        <w:rPr>
          <w:rFonts w:eastAsia="Times New Roman" w:cstheme="minorHAnsi"/>
          <w:b/>
          <w:bCs/>
          <w:color w:val="333333"/>
          <w:sz w:val="22"/>
          <w:szCs w:val="22"/>
        </w:rPr>
        <w:t>Variable Peak Pricing (VPP)</w:t>
      </w:r>
      <w:r w:rsidRPr="001A39E0">
        <w:rPr>
          <w:rFonts w:eastAsia="Times New Roman" w:cstheme="minorHAnsi"/>
          <w:color w:val="333333"/>
          <w:sz w:val="22"/>
          <w:szCs w:val="22"/>
        </w:rPr>
        <w:t> </w:t>
      </w:r>
      <w:r w:rsidRPr="005268DE">
        <w:rPr>
          <w:rFonts w:eastAsia="Times New Roman" w:cstheme="minorHAnsi"/>
          <w:color w:val="333333"/>
          <w:sz w:val="22"/>
          <w:szCs w:val="22"/>
        </w:rPr>
        <w:t>- a hybrid of time-of-use and real-time pricing where the different periods for pricing are defined in advance (e.g., on-peak=6 hours for summer weekday afternoon; off-peak = all other hours in the summer months), but the price established for the on-peak period varies by utility and market conditions.</w:t>
      </w:r>
    </w:p>
    <w:p w14:paraId="0D570AEB" w14:textId="57E40A8B" w:rsidR="001A39E0" w:rsidRPr="005268DE" w:rsidRDefault="001A39E0" w:rsidP="006806BA">
      <w:pPr>
        <w:numPr>
          <w:ilvl w:val="0"/>
          <w:numId w:val="2"/>
        </w:numPr>
        <w:shd w:val="clear" w:color="auto" w:fill="FFFFFF"/>
        <w:spacing w:before="150" w:after="150"/>
        <w:jc w:val="both"/>
        <w:rPr>
          <w:rFonts w:eastAsia="Times New Roman" w:cstheme="minorHAnsi"/>
          <w:color w:val="333333"/>
          <w:sz w:val="22"/>
          <w:szCs w:val="22"/>
        </w:rPr>
      </w:pPr>
      <w:r w:rsidRPr="001A39E0">
        <w:rPr>
          <w:rFonts w:eastAsia="Times New Roman" w:cstheme="minorHAnsi"/>
          <w:b/>
          <w:bCs/>
          <w:color w:val="333333"/>
          <w:sz w:val="22"/>
          <w:szCs w:val="22"/>
        </w:rPr>
        <w:t>Critical peak pricing (CPP)</w:t>
      </w:r>
      <w:r w:rsidRPr="001A39E0">
        <w:rPr>
          <w:rFonts w:eastAsia="Times New Roman" w:cstheme="minorHAnsi"/>
          <w:color w:val="333333"/>
          <w:sz w:val="22"/>
          <w:szCs w:val="22"/>
        </w:rPr>
        <w:t> </w:t>
      </w:r>
      <w:r w:rsidRPr="005268DE">
        <w:rPr>
          <w:rFonts w:eastAsia="Times New Roman" w:cstheme="minorHAnsi"/>
          <w:color w:val="333333"/>
          <w:sz w:val="22"/>
          <w:szCs w:val="22"/>
        </w:rPr>
        <w:t>- when utilities observe or anticipate high wholesale market prices or power system emergency conditions, they may call critical events during a specified time period (e.g., 3 p.m.—6 p.m. on a hot summer weekday), the price for electricity during these time periods is substantially raised. Two variants of this type of rate design exist: one where the time and duration of the price increase are predetermined when events are called and another where the time and duration of the price increase may vary based on the electric gr</w:t>
      </w:r>
      <w:r w:rsidR="003C67A9">
        <w:rPr>
          <w:rFonts w:eastAsia="Times New Roman" w:cstheme="minorHAnsi"/>
          <w:color w:val="333333"/>
          <w:sz w:val="22"/>
          <w:szCs w:val="22"/>
        </w:rPr>
        <w:t>id’s need to have loads reduced.</w:t>
      </w:r>
    </w:p>
    <w:p w14:paraId="4AEA686B" w14:textId="087F05E1" w:rsidR="001A39E0" w:rsidRPr="005268DE" w:rsidRDefault="00017DD3" w:rsidP="006806BA">
      <w:pPr>
        <w:shd w:val="clear" w:color="auto" w:fill="FFFFFF"/>
        <w:spacing w:before="150" w:after="150"/>
        <w:ind w:left="360"/>
        <w:jc w:val="both"/>
        <w:rPr>
          <w:rFonts w:eastAsia="Times New Roman" w:cstheme="minorHAnsi"/>
          <w:color w:val="333333"/>
          <w:sz w:val="22"/>
          <w:szCs w:val="22"/>
        </w:rPr>
      </w:pPr>
      <w:r>
        <w:rPr>
          <w:rFonts w:cstheme="minorHAnsi"/>
          <w:color w:val="333333"/>
          <w:sz w:val="22"/>
          <w:szCs w:val="22"/>
          <w:shd w:val="clear" w:color="auto" w:fill="FFFFFF"/>
        </w:rPr>
        <w:lastRenderedPageBreak/>
        <w:t>T</w:t>
      </w:r>
      <w:r w:rsidR="001A39E0" w:rsidRPr="001A39E0">
        <w:rPr>
          <w:rFonts w:cstheme="minorHAnsi"/>
          <w:color w:val="333333"/>
          <w:sz w:val="22"/>
          <w:szCs w:val="22"/>
          <w:shd w:val="clear" w:color="auto" w:fill="FFFFFF"/>
        </w:rPr>
        <w:t>he</w:t>
      </w:r>
      <w:r>
        <w:rPr>
          <w:rFonts w:cstheme="minorHAnsi"/>
          <w:color w:val="333333"/>
          <w:sz w:val="22"/>
          <w:szCs w:val="22"/>
          <w:shd w:val="clear" w:color="auto" w:fill="FFFFFF"/>
        </w:rPr>
        <w:t xml:space="preserve"> pricing programs listed above </w:t>
      </w:r>
      <w:r w:rsidR="001A39E0" w:rsidRPr="001A39E0">
        <w:rPr>
          <w:rFonts w:cstheme="minorHAnsi"/>
          <w:color w:val="333333"/>
          <w:sz w:val="22"/>
          <w:szCs w:val="22"/>
          <w:shd w:val="clear" w:color="auto" w:fill="FFFFFF"/>
        </w:rPr>
        <w:t>are commonly referred to as dynamic pricing because prices are not known with certainty ahead of time.</w:t>
      </w:r>
      <w:r w:rsidR="001A39E0" w:rsidRPr="001A39E0">
        <w:rPr>
          <w:rStyle w:val="apple-converted-space"/>
          <w:rFonts w:cstheme="minorHAnsi"/>
          <w:color w:val="333333"/>
          <w:sz w:val="22"/>
          <w:szCs w:val="22"/>
          <w:shd w:val="clear" w:color="auto" w:fill="FFFFFF"/>
        </w:rPr>
        <w:t> </w:t>
      </w:r>
    </w:p>
    <w:p w14:paraId="07626A48" w14:textId="4F8F5F0D" w:rsidR="00D9386E" w:rsidRPr="001F3020" w:rsidRDefault="00D9386E" w:rsidP="00017DD3">
      <w:pPr>
        <w:ind w:left="360"/>
        <w:rPr>
          <w:sz w:val="22"/>
          <w:szCs w:val="22"/>
        </w:rPr>
      </w:pPr>
    </w:p>
    <w:p w14:paraId="17D9FFA5" w14:textId="25285726" w:rsidR="00017DD3" w:rsidRPr="00ED0B51" w:rsidRDefault="00017DD3" w:rsidP="00ED0B51">
      <w:pPr>
        <w:ind w:left="360"/>
        <w:rPr>
          <w:b/>
          <w:sz w:val="22"/>
          <w:szCs w:val="22"/>
        </w:rPr>
      </w:pPr>
      <w:r w:rsidRPr="00017DD3">
        <w:rPr>
          <w:b/>
          <w:sz w:val="22"/>
          <w:szCs w:val="22"/>
        </w:rPr>
        <w:t>Curtailment (Demand Response Event)</w:t>
      </w:r>
      <w:r w:rsidR="00ED0B51">
        <w:rPr>
          <w:b/>
          <w:sz w:val="22"/>
          <w:szCs w:val="22"/>
        </w:rPr>
        <w:t xml:space="preserve"> - </w:t>
      </w:r>
      <w:r w:rsidR="006806BA" w:rsidRPr="00ED0B51">
        <w:rPr>
          <w:sz w:val="22"/>
          <w:szCs w:val="22"/>
        </w:rPr>
        <w:t xml:space="preserve">Utilities </w:t>
      </w:r>
      <w:r w:rsidR="009421B9" w:rsidRPr="00ED0B51">
        <w:rPr>
          <w:sz w:val="22"/>
          <w:szCs w:val="22"/>
        </w:rPr>
        <w:t>establish programs</w:t>
      </w:r>
      <w:r w:rsidR="006806BA" w:rsidRPr="00ED0B51">
        <w:rPr>
          <w:sz w:val="22"/>
          <w:szCs w:val="22"/>
        </w:rPr>
        <w:t xml:space="preserve"> through 3</w:t>
      </w:r>
      <w:r w:rsidR="006806BA" w:rsidRPr="00ED0B51">
        <w:rPr>
          <w:sz w:val="22"/>
          <w:szCs w:val="22"/>
          <w:vertAlign w:val="superscript"/>
        </w:rPr>
        <w:t>rd</w:t>
      </w:r>
      <w:r w:rsidR="00445ADE" w:rsidRPr="00ED0B51">
        <w:rPr>
          <w:sz w:val="22"/>
          <w:szCs w:val="22"/>
        </w:rPr>
        <w:t xml:space="preserve"> party aggregators of PEVs and /or EVSEs</w:t>
      </w:r>
      <w:r w:rsidR="006806BA" w:rsidRPr="00ED0B51">
        <w:rPr>
          <w:sz w:val="22"/>
          <w:szCs w:val="22"/>
        </w:rPr>
        <w:t xml:space="preserve"> to </w:t>
      </w:r>
      <w:r w:rsidR="005C29AC" w:rsidRPr="00ED0B51">
        <w:rPr>
          <w:sz w:val="22"/>
          <w:szCs w:val="22"/>
        </w:rPr>
        <w:t>monitor and communicate residential aggregated or regional specific PEV load status</w:t>
      </w:r>
      <w:r w:rsidR="009421B9" w:rsidRPr="00ED0B51">
        <w:rPr>
          <w:sz w:val="22"/>
          <w:szCs w:val="22"/>
        </w:rPr>
        <w:t>;</w:t>
      </w:r>
      <w:r w:rsidR="006806BA" w:rsidRPr="00ED0B51">
        <w:rPr>
          <w:sz w:val="22"/>
          <w:szCs w:val="22"/>
        </w:rPr>
        <w:t xml:space="preserve"> </w:t>
      </w:r>
      <w:r w:rsidR="005C29AC" w:rsidRPr="00ED0B51">
        <w:rPr>
          <w:sz w:val="22"/>
          <w:szCs w:val="22"/>
        </w:rPr>
        <w:t>and communications</w:t>
      </w:r>
      <w:r w:rsidR="009421B9" w:rsidRPr="00ED0B51">
        <w:rPr>
          <w:sz w:val="22"/>
          <w:szCs w:val="22"/>
        </w:rPr>
        <w:t xml:space="preserve"> for transmitting and executing</w:t>
      </w:r>
      <w:r w:rsidR="005C29AC" w:rsidRPr="00ED0B51">
        <w:rPr>
          <w:sz w:val="22"/>
          <w:szCs w:val="22"/>
        </w:rPr>
        <w:t xml:space="preserve"> utility specified DR event signals</w:t>
      </w:r>
      <w:r w:rsidR="007C749D" w:rsidRPr="00ED0B51">
        <w:rPr>
          <w:sz w:val="22"/>
          <w:szCs w:val="22"/>
        </w:rPr>
        <w:t xml:space="preserve"> (date, time, duration, region (i.e. SubLAP)). Customer will have opt</w:t>
      </w:r>
      <w:r w:rsidR="009421B9" w:rsidRPr="00ED0B51">
        <w:rPr>
          <w:sz w:val="22"/>
          <w:szCs w:val="22"/>
        </w:rPr>
        <w:t>-</w:t>
      </w:r>
      <w:r w:rsidR="007C749D" w:rsidRPr="00ED0B51">
        <w:rPr>
          <w:sz w:val="22"/>
          <w:szCs w:val="22"/>
        </w:rPr>
        <w:t>in/out rights</w:t>
      </w:r>
      <w:r w:rsidR="000009D2" w:rsidRPr="00ED0B51">
        <w:rPr>
          <w:sz w:val="22"/>
          <w:szCs w:val="22"/>
        </w:rPr>
        <w:t xml:space="preserve"> </w:t>
      </w:r>
      <w:r w:rsidR="007C749D" w:rsidRPr="00ED0B51">
        <w:rPr>
          <w:sz w:val="22"/>
          <w:szCs w:val="22"/>
        </w:rPr>
        <w:t xml:space="preserve">per their preferences and </w:t>
      </w:r>
      <w:r w:rsidR="00590915" w:rsidRPr="00ED0B51">
        <w:rPr>
          <w:sz w:val="22"/>
          <w:szCs w:val="22"/>
        </w:rPr>
        <w:t xml:space="preserve">the </w:t>
      </w:r>
      <w:r w:rsidR="007C749D" w:rsidRPr="00ED0B51">
        <w:rPr>
          <w:sz w:val="22"/>
          <w:szCs w:val="22"/>
        </w:rPr>
        <w:t xml:space="preserve">PEV determined </w:t>
      </w:r>
      <w:r w:rsidR="005F7685" w:rsidRPr="00ED0B51">
        <w:rPr>
          <w:sz w:val="22"/>
          <w:szCs w:val="22"/>
        </w:rPr>
        <w:t>charging needs</w:t>
      </w:r>
      <w:r w:rsidR="009421B9" w:rsidRPr="00ED0B51">
        <w:rPr>
          <w:sz w:val="22"/>
          <w:szCs w:val="22"/>
        </w:rPr>
        <w:t>,</w:t>
      </w:r>
      <w:r w:rsidR="005F7685" w:rsidRPr="00ED0B51">
        <w:rPr>
          <w:sz w:val="22"/>
          <w:szCs w:val="22"/>
        </w:rPr>
        <w:t xml:space="preserve"> as constrain</w:t>
      </w:r>
      <w:r w:rsidR="00590915" w:rsidRPr="00ED0B51">
        <w:rPr>
          <w:sz w:val="22"/>
          <w:szCs w:val="22"/>
        </w:rPr>
        <w:t xml:space="preserve">ed by time charge is needed </w:t>
      </w:r>
      <w:r w:rsidR="005F7685" w:rsidRPr="00ED0B51">
        <w:rPr>
          <w:sz w:val="22"/>
          <w:szCs w:val="22"/>
        </w:rPr>
        <w:t xml:space="preserve">and SOC of the vehicle. </w:t>
      </w:r>
      <w:r w:rsidR="009421B9" w:rsidRPr="00ED0B51">
        <w:rPr>
          <w:sz w:val="22"/>
          <w:szCs w:val="22"/>
        </w:rPr>
        <w:t xml:space="preserve">ISO DR programs are also </w:t>
      </w:r>
      <w:r w:rsidR="001C77E7" w:rsidRPr="00ED0B51">
        <w:rPr>
          <w:sz w:val="22"/>
          <w:szCs w:val="22"/>
        </w:rPr>
        <w:t>relevant</w:t>
      </w:r>
      <w:r w:rsidR="009421B9" w:rsidRPr="00ED0B51">
        <w:rPr>
          <w:sz w:val="22"/>
          <w:szCs w:val="22"/>
        </w:rPr>
        <w:t xml:space="preserve"> which may require </w:t>
      </w:r>
      <w:r w:rsidR="00AE671A" w:rsidRPr="00ED0B51">
        <w:rPr>
          <w:sz w:val="22"/>
          <w:szCs w:val="22"/>
        </w:rPr>
        <w:t>aggregator to provide</w:t>
      </w:r>
      <w:r w:rsidR="009421B9" w:rsidRPr="00ED0B51">
        <w:rPr>
          <w:sz w:val="22"/>
          <w:szCs w:val="22"/>
        </w:rPr>
        <w:t xml:space="preserve"> DR capacity bids</w:t>
      </w:r>
      <w:r w:rsidR="00ED0B51" w:rsidRPr="00ED0B51">
        <w:rPr>
          <w:sz w:val="22"/>
          <w:szCs w:val="22"/>
        </w:rPr>
        <w:t xml:space="preserve"> into the wholesale energy market,</w:t>
      </w:r>
      <w:r w:rsidR="00AE671A" w:rsidRPr="00ED0B51">
        <w:rPr>
          <w:sz w:val="22"/>
          <w:szCs w:val="22"/>
        </w:rPr>
        <w:t xml:space="preserve"> and may require consolidation with other DR providers to meet ISO minimum participation thresholds. </w:t>
      </w:r>
      <w:r w:rsidR="00483940" w:rsidRPr="00ED0B51">
        <w:rPr>
          <w:sz w:val="22"/>
          <w:szCs w:val="22"/>
        </w:rPr>
        <w:t xml:space="preserve"> (CAISO is developing guidelines </w:t>
      </w:r>
      <w:r w:rsidR="00AE671A" w:rsidRPr="00ED0B51">
        <w:rPr>
          <w:sz w:val="22"/>
          <w:szCs w:val="22"/>
        </w:rPr>
        <w:t>and procedures</w:t>
      </w:r>
      <w:r w:rsidR="00483940" w:rsidRPr="00ED0B51">
        <w:rPr>
          <w:sz w:val="22"/>
          <w:szCs w:val="22"/>
        </w:rPr>
        <w:t xml:space="preserve"> for inclusion of DR as an energy market resource) </w:t>
      </w:r>
    </w:p>
    <w:p w14:paraId="7B3BA558" w14:textId="03C278E9" w:rsidR="00017454" w:rsidRDefault="00017454" w:rsidP="00017454">
      <w:pPr>
        <w:ind w:left="360"/>
        <w:rPr>
          <w:b/>
          <w:sz w:val="22"/>
          <w:szCs w:val="22"/>
        </w:rPr>
      </w:pPr>
    </w:p>
    <w:p w14:paraId="56A52A6E" w14:textId="687291E8" w:rsidR="00017454" w:rsidRPr="00AE671A" w:rsidRDefault="00017454" w:rsidP="000009D2">
      <w:pPr>
        <w:ind w:left="360"/>
        <w:jc w:val="both"/>
        <w:rPr>
          <w:sz w:val="22"/>
          <w:szCs w:val="22"/>
        </w:rPr>
      </w:pPr>
      <w:r>
        <w:rPr>
          <w:b/>
          <w:sz w:val="22"/>
          <w:szCs w:val="22"/>
        </w:rPr>
        <w:t xml:space="preserve">Vehicle </w:t>
      </w:r>
      <w:r w:rsidR="009421B9">
        <w:rPr>
          <w:b/>
          <w:sz w:val="22"/>
          <w:szCs w:val="22"/>
        </w:rPr>
        <w:t>to</w:t>
      </w:r>
      <w:r>
        <w:rPr>
          <w:b/>
          <w:sz w:val="22"/>
          <w:szCs w:val="22"/>
        </w:rPr>
        <w:t xml:space="preserve"> Grid (V2G) </w:t>
      </w:r>
      <w:r w:rsidR="00AE671A">
        <w:rPr>
          <w:b/>
          <w:sz w:val="22"/>
          <w:szCs w:val="22"/>
        </w:rPr>
        <w:t>–</w:t>
      </w:r>
      <w:r>
        <w:rPr>
          <w:b/>
          <w:sz w:val="22"/>
          <w:szCs w:val="22"/>
        </w:rPr>
        <w:t xml:space="preserve"> </w:t>
      </w:r>
      <w:r w:rsidR="00AE671A" w:rsidRPr="00AE671A">
        <w:rPr>
          <w:sz w:val="22"/>
          <w:szCs w:val="22"/>
        </w:rPr>
        <w:t>is the</w:t>
      </w:r>
      <w:r w:rsidR="00AE671A">
        <w:rPr>
          <w:b/>
          <w:sz w:val="22"/>
          <w:szCs w:val="22"/>
        </w:rPr>
        <w:t xml:space="preserve"> </w:t>
      </w:r>
      <w:r w:rsidR="00AE671A" w:rsidRPr="00AE671A">
        <w:rPr>
          <w:sz w:val="22"/>
          <w:szCs w:val="22"/>
        </w:rPr>
        <w:t>capability of a PEV to provide an interconnection to the grid for the purposes of providing energy onto the grid from</w:t>
      </w:r>
      <w:r w:rsidR="00AE671A">
        <w:rPr>
          <w:sz w:val="22"/>
          <w:szCs w:val="22"/>
        </w:rPr>
        <w:t xml:space="preserve"> the on-vehicle battery system or rechargeable energy storage system (RESS).  </w:t>
      </w:r>
      <w:r w:rsidR="0015314A">
        <w:rPr>
          <w:sz w:val="22"/>
          <w:szCs w:val="22"/>
        </w:rPr>
        <w:t>Benefit is the ability to add generation to the grid to support the peak demand ramp. This will require monitoring and communications between the utility and the aggregator</w:t>
      </w:r>
      <w:r w:rsidR="0029034B">
        <w:rPr>
          <w:sz w:val="22"/>
          <w:szCs w:val="22"/>
        </w:rPr>
        <w:t xml:space="preserve"> and the PEV;</w:t>
      </w:r>
      <w:r w:rsidR="0015314A">
        <w:rPr>
          <w:sz w:val="22"/>
          <w:szCs w:val="22"/>
        </w:rPr>
        <w:t xml:space="preserve"> and can be initiated as an excess supply demand response feature and eligible as a DER for purposes of participating in the DERP program being developed by the CAISO. </w:t>
      </w:r>
    </w:p>
    <w:p w14:paraId="7AAE70EA" w14:textId="77777777" w:rsidR="00D9386E" w:rsidRDefault="00D9386E" w:rsidP="001F3020">
      <w:pPr>
        <w:pStyle w:val="Heading1"/>
      </w:pPr>
      <w:r>
        <w:t>Business Rules &amp; Assumptions</w:t>
      </w:r>
    </w:p>
    <w:p w14:paraId="112EC81B" w14:textId="734B5910" w:rsidR="00D9386E" w:rsidRDefault="004071CB" w:rsidP="00180BBE">
      <w:pPr>
        <w:pStyle w:val="ListParagraph"/>
        <w:numPr>
          <w:ilvl w:val="0"/>
          <w:numId w:val="4"/>
        </w:numPr>
        <w:jc w:val="both"/>
        <w:rPr>
          <w:sz w:val="22"/>
          <w:szCs w:val="22"/>
        </w:rPr>
      </w:pPr>
      <w:r>
        <w:rPr>
          <w:sz w:val="22"/>
          <w:szCs w:val="22"/>
        </w:rPr>
        <w:t xml:space="preserve">Monitoring, communications, and control of the residential PEV load will be facilitated through aggregators from the Utility or Distribution Service Operator (DSO) and ISO, or for California, a CAISO authorized Schedule Coordinator. </w:t>
      </w:r>
    </w:p>
    <w:p w14:paraId="61FBCDD1" w14:textId="6E5DFCDB" w:rsidR="004071CB" w:rsidRDefault="004071CB" w:rsidP="00180BBE">
      <w:pPr>
        <w:pStyle w:val="ListParagraph"/>
        <w:numPr>
          <w:ilvl w:val="0"/>
          <w:numId w:val="4"/>
        </w:numPr>
        <w:jc w:val="both"/>
        <w:rPr>
          <w:sz w:val="22"/>
          <w:szCs w:val="22"/>
        </w:rPr>
      </w:pPr>
      <w:r>
        <w:rPr>
          <w:sz w:val="22"/>
          <w:szCs w:val="22"/>
        </w:rPr>
        <w:t xml:space="preserve">Aggregators will perform </w:t>
      </w:r>
      <w:r w:rsidR="00FC79B6">
        <w:rPr>
          <w:sz w:val="22"/>
          <w:szCs w:val="22"/>
        </w:rPr>
        <w:t xml:space="preserve">residential </w:t>
      </w:r>
      <w:r>
        <w:rPr>
          <w:sz w:val="22"/>
          <w:szCs w:val="22"/>
        </w:rPr>
        <w:t xml:space="preserve">customer enrollment processes per the requirements of the </w:t>
      </w:r>
      <w:r w:rsidR="00FC79B6">
        <w:rPr>
          <w:sz w:val="22"/>
          <w:szCs w:val="22"/>
        </w:rPr>
        <w:t xml:space="preserve">cognizant utility and/or ISO. </w:t>
      </w:r>
    </w:p>
    <w:p w14:paraId="26BA5C6A" w14:textId="4D8EA5ED" w:rsidR="00FC79B6" w:rsidRDefault="00FC79B6" w:rsidP="00180BBE">
      <w:pPr>
        <w:pStyle w:val="ListParagraph"/>
        <w:numPr>
          <w:ilvl w:val="0"/>
          <w:numId w:val="4"/>
        </w:numPr>
        <w:jc w:val="both"/>
        <w:rPr>
          <w:sz w:val="22"/>
          <w:szCs w:val="22"/>
        </w:rPr>
      </w:pPr>
      <w:r>
        <w:rPr>
          <w:sz w:val="22"/>
          <w:szCs w:val="22"/>
        </w:rPr>
        <w:t>Customer incentives for participating in the PEV load management programs will be either based on energy cost savings associated with shifting charging load to avoi</w:t>
      </w:r>
      <w:r w:rsidR="00D22365">
        <w:rPr>
          <w:sz w:val="22"/>
          <w:szCs w:val="22"/>
        </w:rPr>
        <w:t>d periods of high Dynamic pricing</w:t>
      </w:r>
      <w:r>
        <w:rPr>
          <w:sz w:val="22"/>
          <w:szCs w:val="22"/>
        </w:rPr>
        <w:t xml:space="preserve">, </w:t>
      </w:r>
      <w:r w:rsidR="00180BBE">
        <w:rPr>
          <w:sz w:val="22"/>
          <w:szCs w:val="22"/>
        </w:rPr>
        <w:t xml:space="preserve">incentives </w:t>
      </w:r>
      <w:r w:rsidR="00D22365">
        <w:rPr>
          <w:sz w:val="22"/>
          <w:szCs w:val="22"/>
        </w:rPr>
        <w:t xml:space="preserve">or discounts </w:t>
      </w:r>
      <w:r w:rsidR="00180BBE">
        <w:rPr>
          <w:sz w:val="22"/>
          <w:szCs w:val="22"/>
        </w:rPr>
        <w:t xml:space="preserve">provided by the utility for performance in response to DR Event signals, or compensation provided by the aggregator from revenues generated for participation in wholesale energy markets and utility capacity bidding programs. </w:t>
      </w:r>
    </w:p>
    <w:p w14:paraId="0486AC79" w14:textId="02539EF7" w:rsidR="00206F40" w:rsidRDefault="00206F40" w:rsidP="00180BBE">
      <w:pPr>
        <w:pStyle w:val="ListParagraph"/>
        <w:numPr>
          <w:ilvl w:val="0"/>
          <w:numId w:val="4"/>
        </w:numPr>
        <w:jc w:val="both"/>
        <w:rPr>
          <w:sz w:val="22"/>
          <w:szCs w:val="22"/>
        </w:rPr>
      </w:pPr>
      <w:r>
        <w:rPr>
          <w:sz w:val="22"/>
          <w:szCs w:val="22"/>
        </w:rPr>
        <w:t xml:space="preserve">Measurement and verification will be based on the individual program requirements delineated by the utility or ISO, and is the responsibility of the aggregator to ensure </w:t>
      </w:r>
      <w:r w:rsidR="00D22365">
        <w:rPr>
          <w:sz w:val="22"/>
          <w:szCs w:val="22"/>
        </w:rPr>
        <w:t>compliance to the requirements</w:t>
      </w:r>
      <w:r>
        <w:rPr>
          <w:sz w:val="22"/>
          <w:szCs w:val="22"/>
        </w:rPr>
        <w:t xml:space="preserve">. </w:t>
      </w:r>
    </w:p>
    <w:p w14:paraId="3F82F2BF" w14:textId="7C4F988D" w:rsidR="00D91C0E" w:rsidRDefault="00D91C0E" w:rsidP="00180BBE">
      <w:pPr>
        <w:pStyle w:val="ListParagraph"/>
        <w:numPr>
          <w:ilvl w:val="0"/>
          <w:numId w:val="4"/>
        </w:numPr>
        <w:jc w:val="both"/>
        <w:rPr>
          <w:sz w:val="22"/>
          <w:szCs w:val="22"/>
        </w:rPr>
      </w:pPr>
      <w:r>
        <w:rPr>
          <w:sz w:val="22"/>
          <w:szCs w:val="22"/>
        </w:rPr>
        <w:t>PEV customers in the context of this use case assumes the PEV owner and the residential service account holder is the same.</w:t>
      </w:r>
    </w:p>
    <w:p w14:paraId="7FCC5543" w14:textId="0736370A" w:rsidR="00D22365" w:rsidRPr="00D91C0E" w:rsidRDefault="004D1FFD" w:rsidP="00180BBE">
      <w:pPr>
        <w:pStyle w:val="ListParagraph"/>
        <w:numPr>
          <w:ilvl w:val="0"/>
          <w:numId w:val="4"/>
        </w:numPr>
        <w:jc w:val="both"/>
        <w:rPr>
          <w:sz w:val="22"/>
          <w:szCs w:val="22"/>
        </w:rPr>
      </w:pPr>
      <w:r w:rsidRPr="00D91C0E">
        <w:rPr>
          <w:sz w:val="22"/>
          <w:szCs w:val="22"/>
        </w:rPr>
        <w:t>P</w:t>
      </w:r>
      <w:r w:rsidR="00D22365" w:rsidRPr="00D91C0E">
        <w:rPr>
          <w:sz w:val="22"/>
          <w:szCs w:val="22"/>
        </w:rPr>
        <w:t xml:space="preserve">EV </w:t>
      </w:r>
      <w:r w:rsidR="00D22365" w:rsidRPr="00D91C0E">
        <w:rPr>
          <w:sz w:val="22"/>
          <w:szCs w:val="22"/>
        </w:rPr>
        <w:t>customers can</w:t>
      </w:r>
      <w:r w:rsidR="00D22365" w:rsidRPr="00D91C0E">
        <w:rPr>
          <w:sz w:val="22"/>
          <w:szCs w:val="22"/>
        </w:rPr>
        <w:t xml:space="preserve"> manage participation in events (e.g., Opt-out or Opt-in) either in real time or as previously agreed</w:t>
      </w:r>
      <w:r w:rsidR="00D22365" w:rsidRPr="00D91C0E">
        <w:rPr>
          <w:sz w:val="22"/>
          <w:szCs w:val="22"/>
        </w:rPr>
        <w:t>.</w:t>
      </w:r>
    </w:p>
    <w:p w14:paraId="1C44A56D" w14:textId="77777777" w:rsidR="00D91C0E" w:rsidRPr="00D91C0E" w:rsidRDefault="00D91C0E" w:rsidP="00D91C0E">
      <w:pPr>
        <w:pStyle w:val="ListParagraph"/>
        <w:rPr>
          <w:sz w:val="22"/>
          <w:szCs w:val="22"/>
        </w:rPr>
      </w:pPr>
    </w:p>
    <w:p w14:paraId="200DD7E4" w14:textId="77777777" w:rsidR="00D22365" w:rsidRPr="00D91C0E" w:rsidRDefault="00D22365" w:rsidP="004D1FFD">
      <w:pPr>
        <w:pStyle w:val="ListParagraph"/>
        <w:jc w:val="both"/>
        <w:rPr>
          <w:sz w:val="22"/>
          <w:szCs w:val="22"/>
        </w:rPr>
      </w:pPr>
    </w:p>
    <w:p w14:paraId="4ABF7A77" w14:textId="02C9EC50" w:rsidR="001F3020" w:rsidRDefault="001F3020">
      <w:pPr>
        <w:rPr>
          <w:sz w:val="22"/>
          <w:szCs w:val="22"/>
        </w:rPr>
      </w:pPr>
    </w:p>
    <w:p w14:paraId="177B6A5E" w14:textId="41E7D8DA" w:rsidR="008D312D" w:rsidRDefault="008D312D">
      <w:pPr>
        <w:rPr>
          <w:sz w:val="22"/>
          <w:szCs w:val="22"/>
        </w:rPr>
      </w:pPr>
    </w:p>
    <w:p w14:paraId="76770426" w14:textId="5BCABFD1" w:rsidR="008D312D" w:rsidRDefault="008D312D">
      <w:pPr>
        <w:rPr>
          <w:sz w:val="22"/>
          <w:szCs w:val="22"/>
        </w:rPr>
      </w:pPr>
    </w:p>
    <w:p w14:paraId="0C2DA758" w14:textId="77777777" w:rsidR="008D312D" w:rsidRPr="00D91C0E" w:rsidRDefault="008D312D">
      <w:pPr>
        <w:rPr>
          <w:sz w:val="22"/>
          <w:szCs w:val="22"/>
        </w:rPr>
      </w:pPr>
    </w:p>
    <w:p w14:paraId="13442F03" w14:textId="77777777" w:rsidR="00770D9F" w:rsidRDefault="00770D9F" w:rsidP="001F3020">
      <w:pPr>
        <w:pStyle w:val="Heading1"/>
      </w:pPr>
    </w:p>
    <w:p w14:paraId="2ECA0C16" w14:textId="51570ABF" w:rsidR="00D9386E" w:rsidRPr="00770D9F" w:rsidRDefault="00D9386E" w:rsidP="001F3020">
      <w:pPr>
        <w:pStyle w:val="Heading1"/>
        <w:rPr>
          <w:b/>
        </w:rPr>
      </w:pPr>
      <w:r w:rsidRPr="00770D9F">
        <w:rPr>
          <w:b/>
        </w:rPr>
        <w:t>Actors</w:t>
      </w:r>
    </w:p>
    <w:p w14:paraId="183E6E34" w14:textId="077F28B5" w:rsidR="001F3020" w:rsidRDefault="00D9386E" w:rsidP="001F3020">
      <w:pPr>
        <w:rPr>
          <w:rFonts w:ascii="MS Mincho" w:eastAsia="MS Mincho" w:hAnsi="MS Mincho" w:cs="MS Mincho"/>
          <w:sz w:val="20"/>
          <w:szCs w:val="20"/>
        </w:rPr>
      </w:pPr>
      <w:r w:rsidRPr="001F3020">
        <w:rPr>
          <w:i/>
          <w:iCs/>
          <w:sz w:val="22"/>
          <w:szCs w:val="22"/>
        </w:rPr>
        <w:t>.</w:t>
      </w:r>
      <w:r w:rsidRPr="001F3020">
        <w:rPr>
          <w:i/>
          <w:iCs/>
          <w:sz w:val="20"/>
          <w:szCs w:val="20"/>
        </w:rPr>
        <w:t xml:space="preserve"> </w:t>
      </w:r>
    </w:p>
    <w:p w14:paraId="2E167BEF" w14:textId="77777777" w:rsidR="00D9386E" w:rsidRPr="001F3020" w:rsidRDefault="00D9386E" w:rsidP="001F3020">
      <w:pPr>
        <w:rPr>
          <w:rFonts w:ascii="MS Mincho" w:eastAsia="MS Mincho" w:hAnsi="MS Mincho" w:cs="MS Mincho"/>
          <w:sz w:val="20"/>
          <w:szCs w:val="20"/>
        </w:rPr>
      </w:pPr>
      <w:r w:rsidRPr="001F3020">
        <w:rPr>
          <w:rFonts w:ascii="MS Mincho" w:eastAsia="MS Mincho" w:hAnsi="MS Mincho" w:cs="MS Mincho"/>
          <w:sz w:val="20"/>
          <w:szCs w:val="20"/>
        </w:rPr>
        <w:t> </w:t>
      </w:r>
    </w:p>
    <w:tbl>
      <w:tblPr>
        <w:tblStyle w:val="TableGrid"/>
        <w:tblW w:w="11700" w:type="dxa"/>
        <w:tblInd w:w="-1175" w:type="dxa"/>
        <w:tblLook w:val="04A0" w:firstRow="1" w:lastRow="0" w:firstColumn="1" w:lastColumn="0" w:noHBand="0" w:noVBand="1"/>
      </w:tblPr>
      <w:tblGrid>
        <w:gridCol w:w="2610"/>
        <w:gridCol w:w="2790"/>
        <w:gridCol w:w="6300"/>
      </w:tblGrid>
      <w:tr w:rsidR="001F3020" w14:paraId="71B019B5" w14:textId="77777777" w:rsidTr="001F3020">
        <w:trPr>
          <w:trHeight w:val="629"/>
        </w:trPr>
        <w:tc>
          <w:tcPr>
            <w:tcW w:w="2610" w:type="dxa"/>
            <w:shd w:val="clear" w:color="auto" w:fill="E7E6E6" w:themeFill="background2"/>
          </w:tcPr>
          <w:p w14:paraId="2F9D5EC2" w14:textId="77777777" w:rsidR="00D9386E" w:rsidRDefault="00D9386E" w:rsidP="00D9386E">
            <w:pPr>
              <w:jc w:val="center"/>
            </w:pPr>
            <w:r>
              <w:t>Actor Name</w:t>
            </w:r>
          </w:p>
        </w:tc>
        <w:tc>
          <w:tcPr>
            <w:tcW w:w="2790" w:type="dxa"/>
            <w:shd w:val="clear" w:color="auto" w:fill="E7E6E6" w:themeFill="background2"/>
          </w:tcPr>
          <w:p w14:paraId="434917A3" w14:textId="77777777" w:rsidR="00D9386E" w:rsidRDefault="00D9386E" w:rsidP="00D9386E">
            <w:pPr>
              <w:jc w:val="center"/>
            </w:pPr>
            <w:r>
              <w:t>Actor Type (person, device, system, etc.)</w:t>
            </w:r>
          </w:p>
        </w:tc>
        <w:tc>
          <w:tcPr>
            <w:tcW w:w="6300" w:type="dxa"/>
            <w:shd w:val="clear" w:color="auto" w:fill="E7E6E6" w:themeFill="background2"/>
          </w:tcPr>
          <w:p w14:paraId="661C95EA" w14:textId="77777777" w:rsidR="00D9386E" w:rsidRDefault="00D9386E" w:rsidP="00D9386E">
            <w:pPr>
              <w:jc w:val="center"/>
            </w:pPr>
            <w:r>
              <w:t>Actor Description</w:t>
            </w:r>
          </w:p>
        </w:tc>
      </w:tr>
      <w:tr w:rsidR="004D1FFD" w:rsidRPr="004D1FFD" w14:paraId="736920A6" w14:textId="77777777" w:rsidTr="001F3020">
        <w:tc>
          <w:tcPr>
            <w:tcW w:w="2610" w:type="dxa"/>
          </w:tcPr>
          <w:p w14:paraId="61BAF2CB" w14:textId="57F83E00" w:rsidR="004D1FFD" w:rsidRPr="00374BCB" w:rsidRDefault="00641435" w:rsidP="004D1FFD">
            <w:pPr>
              <w:rPr>
                <w:rFonts w:ascii="Arial" w:hAnsi="Arial" w:cs="Arial"/>
                <w:sz w:val="22"/>
                <w:szCs w:val="22"/>
              </w:rPr>
            </w:pPr>
            <w:r w:rsidRPr="00374BCB">
              <w:rPr>
                <w:rFonts w:ascii="Arial" w:hAnsi="Arial" w:cs="Arial"/>
                <w:sz w:val="22"/>
                <w:szCs w:val="22"/>
              </w:rPr>
              <w:t xml:space="preserve">PEV - </w:t>
            </w:r>
            <w:r w:rsidR="004D1FFD" w:rsidRPr="00374BCB">
              <w:rPr>
                <w:rFonts w:ascii="Arial" w:hAnsi="Arial" w:cs="Arial"/>
                <w:sz w:val="22"/>
                <w:szCs w:val="22"/>
              </w:rPr>
              <w:t xml:space="preserve">Plug in </w:t>
            </w:r>
            <w:r w:rsidRPr="00374BCB">
              <w:rPr>
                <w:rFonts w:ascii="Arial" w:hAnsi="Arial" w:cs="Arial"/>
                <w:sz w:val="22"/>
                <w:szCs w:val="22"/>
              </w:rPr>
              <w:t xml:space="preserve">Battery </w:t>
            </w:r>
            <w:r w:rsidR="004D1FFD" w:rsidRPr="00374BCB">
              <w:rPr>
                <w:rFonts w:ascii="Arial" w:hAnsi="Arial" w:cs="Arial"/>
                <w:sz w:val="22"/>
                <w:szCs w:val="22"/>
              </w:rPr>
              <w:t>Electric Vehicle or P</w:t>
            </w:r>
            <w:r w:rsidRPr="00374BCB">
              <w:rPr>
                <w:rFonts w:ascii="Arial" w:hAnsi="Arial" w:cs="Arial"/>
                <w:sz w:val="22"/>
                <w:szCs w:val="22"/>
              </w:rPr>
              <w:t xml:space="preserve">lug in Hybrid Electric Vehicle </w:t>
            </w:r>
          </w:p>
        </w:tc>
        <w:tc>
          <w:tcPr>
            <w:tcW w:w="2790" w:type="dxa"/>
          </w:tcPr>
          <w:p w14:paraId="5C013461" w14:textId="60336A3B" w:rsidR="004D1FFD" w:rsidRPr="00374BCB" w:rsidRDefault="004D1FFD" w:rsidP="004D1FFD">
            <w:pPr>
              <w:rPr>
                <w:rFonts w:ascii="Arial" w:hAnsi="Arial" w:cs="Arial"/>
                <w:sz w:val="22"/>
                <w:szCs w:val="22"/>
              </w:rPr>
            </w:pPr>
            <w:r w:rsidRPr="00374BCB">
              <w:rPr>
                <w:rFonts w:ascii="Arial" w:hAnsi="Arial" w:cs="Arial"/>
                <w:sz w:val="22"/>
                <w:szCs w:val="22"/>
              </w:rPr>
              <w:t>Device</w:t>
            </w:r>
          </w:p>
        </w:tc>
        <w:tc>
          <w:tcPr>
            <w:tcW w:w="6300" w:type="dxa"/>
          </w:tcPr>
          <w:p w14:paraId="354356E3" w14:textId="0AB1F8CC" w:rsidR="004D1FFD" w:rsidRPr="00374BCB" w:rsidRDefault="00D91C0E" w:rsidP="004D1FFD">
            <w:pPr>
              <w:rPr>
                <w:rFonts w:ascii="Arial" w:hAnsi="Arial" w:cs="Arial"/>
                <w:sz w:val="22"/>
                <w:szCs w:val="22"/>
              </w:rPr>
            </w:pPr>
            <w:r w:rsidRPr="00374BCB">
              <w:rPr>
                <w:rFonts w:ascii="Arial" w:hAnsi="Arial" w:cs="Arial"/>
                <w:sz w:val="22"/>
                <w:szCs w:val="22"/>
              </w:rPr>
              <w:t>T</w:t>
            </w:r>
            <w:r w:rsidR="004D1FFD" w:rsidRPr="00374BCB">
              <w:rPr>
                <w:rFonts w:ascii="Arial" w:hAnsi="Arial" w:cs="Arial"/>
                <w:sz w:val="22"/>
                <w:szCs w:val="22"/>
              </w:rPr>
              <w:t xml:space="preserve">he end node for aggregator load </w:t>
            </w:r>
            <w:r w:rsidRPr="00374BCB">
              <w:rPr>
                <w:rFonts w:ascii="Arial" w:hAnsi="Arial" w:cs="Arial"/>
                <w:sz w:val="22"/>
                <w:szCs w:val="22"/>
              </w:rPr>
              <w:t xml:space="preserve">management signals that </w:t>
            </w:r>
            <w:r w:rsidR="005B1FCC" w:rsidRPr="00374BCB">
              <w:rPr>
                <w:rFonts w:ascii="Arial" w:hAnsi="Arial" w:cs="Arial"/>
                <w:sz w:val="22"/>
                <w:szCs w:val="22"/>
              </w:rPr>
              <w:t>can be</w:t>
            </w:r>
            <w:r w:rsidRPr="00374BCB">
              <w:rPr>
                <w:rFonts w:ascii="Arial" w:hAnsi="Arial" w:cs="Arial"/>
                <w:sz w:val="22"/>
                <w:szCs w:val="22"/>
              </w:rPr>
              <w:t xml:space="preserve"> </w:t>
            </w:r>
            <w:r w:rsidR="004D1FFD" w:rsidRPr="00374BCB">
              <w:rPr>
                <w:rFonts w:ascii="Arial" w:hAnsi="Arial" w:cs="Arial"/>
                <w:sz w:val="22"/>
                <w:szCs w:val="22"/>
              </w:rPr>
              <w:t xml:space="preserve">communicated through </w:t>
            </w:r>
            <w:r w:rsidR="005B1FCC" w:rsidRPr="00374BCB">
              <w:rPr>
                <w:rFonts w:ascii="Arial" w:hAnsi="Arial" w:cs="Arial"/>
                <w:sz w:val="22"/>
                <w:szCs w:val="22"/>
              </w:rPr>
              <w:t>the</w:t>
            </w:r>
            <w:r w:rsidRPr="00374BCB">
              <w:rPr>
                <w:rFonts w:ascii="Arial" w:hAnsi="Arial" w:cs="Arial"/>
                <w:sz w:val="22"/>
                <w:szCs w:val="22"/>
              </w:rPr>
              <w:t xml:space="preserve"> </w:t>
            </w:r>
            <w:r w:rsidR="004D1FFD" w:rsidRPr="00374BCB">
              <w:rPr>
                <w:rFonts w:ascii="Arial" w:hAnsi="Arial" w:cs="Arial"/>
                <w:sz w:val="22"/>
                <w:szCs w:val="22"/>
              </w:rPr>
              <w:t>charging cable or directly via telematics</w:t>
            </w:r>
          </w:p>
        </w:tc>
      </w:tr>
      <w:tr w:rsidR="004D1FFD" w:rsidRPr="004D1FFD" w14:paraId="24B897C8" w14:textId="77777777" w:rsidTr="001F3020">
        <w:tc>
          <w:tcPr>
            <w:tcW w:w="2610" w:type="dxa"/>
          </w:tcPr>
          <w:p w14:paraId="23166682" w14:textId="69FC8C76" w:rsidR="004D1FFD" w:rsidRPr="00374BCB" w:rsidRDefault="004D1FFD" w:rsidP="004D1FFD">
            <w:pPr>
              <w:rPr>
                <w:rFonts w:ascii="Arial" w:hAnsi="Arial" w:cs="Arial"/>
                <w:sz w:val="22"/>
                <w:szCs w:val="22"/>
              </w:rPr>
            </w:pPr>
            <w:r w:rsidRPr="00374BCB">
              <w:rPr>
                <w:rFonts w:ascii="Arial" w:hAnsi="Arial" w:cs="Arial"/>
                <w:sz w:val="22"/>
                <w:szCs w:val="22"/>
              </w:rPr>
              <w:t>Aggregator</w:t>
            </w:r>
          </w:p>
        </w:tc>
        <w:tc>
          <w:tcPr>
            <w:tcW w:w="2790" w:type="dxa"/>
          </w:tcPr>
          <w:p w14:paraId="2D6759C7" w14:textId="4461DE96" w:rsidR="004D1FFD" w:rsidRPr="00374BCB" w:rsidRDefault="004D1FFD" w:rsidP="004D1FFD">
            <w:pPr>
              <w:rPr>
                <w:rFonts w:ascii="Arial" w:hAnsi="Arial" w:cs="Arial"/>
                <w:sz w:val="22"/>
                <w:szCs w:val="22"/>
              </w:rPr>
            </w:pPr>
            <w:r w:rsidRPr="00374BCB">
              <w:rPr>
                <w:rFonts w:ascii="Arial" w:hAnsi="Arial" w:cs="Arial"/>
                <w:sz w:val="22"/>
                <w:szCs w:val="22"/>
              </w:rPr>
              <w:t>System</w:t>
            </w:r>
          </w:p>
        </w:tc>
        <w:tc>
          <w:tcPr>
            <w:tcW w:w="6300" w:type="dxa"/>
          </w:tcPr>
          <w:p w14:paraId="70EBE4E2" w14:textId="791DD0B2" w:rsidR="004D1FFD" w:rsidRPr="00374BCB" w:rsidRDefault="00D91C0E" w:rsidP="004D1FFD">
            <w:pPr>
              <w:rPr>
                <w:rFonts w:ascii="Arial" w:hAnsi="Arial" w:cs="Arial"/>
                <w:sz w:val="22"/>
                <w:szCs w:val="22"/>
              </w:rPr>
            </w:pPr>
            <w:r w:rsidRPr="00374BCB">
              <w:rPr>
                <w:rFonts w:ascii="Arial" w:hAnsi="Arial" w:cs="Arial"/>
                <w:sz w:val="22"/>
                <w:szCs w:val="22"/>
              </w:rPr>
              <w:t>Entity that</w:t>
            </w:r>
            <w:r w:rsidR="004D1FFD" w:rsidRPr="00374BCB">
              <w:rPr>
                <w:rFonts w:ascii="Arial" w:hAnsi="Arial" w:cs="Arial"/>
                <w:sz w:val="22"/>
                <w:szCs w:val="22"/>
              </w:rPr>
              <w:t xml:space="preserve"> manages a group of </w:t>
            </w:r>
            <w:r w:rsidRPr="00374BCB">
              <w:rPr>
                <w:rFonts w:ascii="Arial" w:hAnsi="Arial" w:cs="Arial"/>
                <w:sz w:val="22"/>
                <w:szCs w:val="22"/>
              </w:rPr>
              <w:t>P</w:t>
            </w:r>
            <w:r w:rsidR="004D1FFD" w:rsidRPr="00374BCB">
              <w:rPr>
                <w:rFonts w:ascii="Arial" w:hAnsi="Arial" w:cs="Arial"/>
                <w:sz w:val="22"/>
                <w:szCs w:val="22"/>
              </w:rPr>
              <w:t>EVs or EVSEs for the purposes of providing grid s</w:t>
            </w:r>
            <w:r w:rsidRPr="00374BCB">
              <w:rPr>
                <w:rFonts w:ascii="Arial" w:hAnsi="Arial" w:cs="Arial"/>
                <w:sz w:val="22"/>
                <w:szCs w:val="22"/>
              </w:rPr>
              <w:t xml:space="preserve">ervices </w:t>
            </w:r>
            <w:r w:rsidR="005B1FCC" w:rsidRPr="00374BCB">
              <w:rPr>
                <w:rFonts w:ascii="Arial" w:hAnsi="Arial" w:cs="Arial"/>
                <w:sz w:val="22"/>
                <w:szCs w:val="22"/>
              </w:rPr>
              <w:t>through</w:t>
            </w:r>
            <w:r w:rsidR="00D70302" w:rsidRPr="00374BCB">
              <w:rPr>
                <w:rFonts w:ascii="Arial" w:hAnsi="Arial" w:cs="Arial"/>
                <w:sz w:val="22"/>
                <w:szCs w:val="22"/>
              </w:rPr>
              <w:t xml:space="preserve"> </w:t>
            </w:r>
            <w:r w:rsidR="005B1FCC" w:rsidRPr="00374BCB">
              <w:rPr>
                <w:rFonts w:ascii="Arial" w:hAnsi="Arial" w:cs="Arial"/>
                <w:sz w:val="22"/>
                <w:szCs w:val="22"/>
              </w:rPr>
              <w:t>a communications network for monitoring</w:t>
            </w:r>
            <w:r w:rsidRPr="00374BCB">
              <w:rPr>
                <w:rFonts w:ascii="Arial" w:hAnsi="Arial" w:cs="Arial"/>
                <w:sz w:val="22"/>
                <w:szCs w:val="22"/>
              </w:rPr>
              <w:t xml:space="preserve">, measurement and </w:t>
            </w:r>
            <w:r w:rsidR="005B1FCC" w:rsidRPr="00374BCB">
              <w:rPr>
                <w:rFonts w:ascii="Arial" w:hAnsi="Arial" w:cs="Arial"/>
                <w:sz w:val="22"/>
                <w:szCs w:val="22"/>
              </w:rPr>
              <w:t xml:space="preserve">control </w:t>
            </w:r>
          </w:p>
        </w:tc>
      </w:tr>
      <w:tr w:rsidR="004D1FFD" w:rsidRPr="004D1FFD" w14:paraId="15A5BE8D" w14:textId="77777777" w:rsidTr="001F3020">
        <w:tc>
          <w:tcPr>
            <w:tcW w:w="2610" w:type="dxa"/>
          </w:tcPr>
          <w:p w14:paraId="6FB5C35D" w14:textId="4680DEF1" w:rsidR="004D1FFD" w:rsidRPr="00374BCB" w:rsidRDefault="004D1FFD" w:rsidP="004D1FFD">
            <w:pPr>
              <w:rPr>
                <w:rFonts w:ascii="Arial" w:hAnsi="Arial" w:cs="Arial"/>
                <w:sz w:val="22"/>
                <w:szCs w:val="22"/>
              </w:rPr>
            </w:pPr>
            <w:r w:rsidRPr="00374BCB">
              <w:rPr>
                <w:rFonts w:ascii="Arial" w:hAnsi="Arial" w:cs="Arial"/>
                <w:sz w:val="22"/>
                <w:szCs w:val="22"/>
              </w:rPr>
              <w:t>Electric Vehicle Supply Equipment (EVSE)</w:t>
            </w:r>
          </w:p>
        </w:tc>
        <w:tc>
          <w:tcPr>
            <w:tcW w:w="2790" w:type="dxa"/>
          </w:tcPr>
          <w:p w14:paraId="2B14B23C" w14:textId="58F5A661" w:rsidR="004D1FFD" w:rsidRPr="00374BCB" w:rsidRDefault="004D1FFD" w:rsidP="004D1FFD">
            <w:pPr>
              <w:rPr>
                <w:rFonts w:ascii="Arial" w:hAnsi="Arial" w:cs="Arial"/>
                <w:sz w:val="22"/>
                <w:szCs w:val="22"/>
              </w:rPr>
            </w:pPr>
            <w:r w:rsidRPr="00374BCB">
              <w:rPr>
                <w:rFonts w:ascii="Arial" w:hAnsi="Arial" w:cs="Arial"/>
                <w:sz w:val="22"/>
                <w:szCs w:val="22"/>
              </w:rPr>
              <w:t>Device</w:t>
            </w:r>
          </w:p>
        </w:tc>
        <w:tc>
          <w:tcPr>
            <w:tcW w:w="6300" w:type="dxa"/>
          </w:tcPr>
          <w:p w14:paraId="54066D8E" w14:textId="17FBB9DD" w:rsidR="004D1FFD" w:rsidRPr="00374BCB" w:rsidRDefault="004D1FFD" w:rsidP="004D1FFD">
            <w:pPr>
              <w:rPr>
                <w:rFonts w:ascii="Arial" w:hAnsi="Arial" w:cs="Arial"/>
                <w:sz w:val="22"/>
                <w:szCs w:val="22"/>
              </w:rPr>
            </w:pPr>
            <w:r w:rsidRPr="00374BCB">
              <w:rPr>
                <w:rFonts w:ascii="Arial" w:hAnsi="Arial" w:cs="Arial"/>
                <w:sz w:val="22"/>
                <w:szCs w:val="22"/>
              </w:rPr>
              <w:t>Charging equipment that may be the end node for aggregator load management signal</w:t>
            </w:r>
            <w:r w:rsidR="004B7116" w:rsidRPr="00374BCB">
              <w:rPr>
                <w:rFonts w:ascii="Arial" w:hAnsi="Arial" w:cs="Arial"/>
                <w:sz w:val="22"/>
                <w:szCs w:val="22"/>
              </w:rPr>
              <w:t>s</w:t>
            </w:r>
            <w:r w:rsidRPr="00374BCB">
              <w:rPr>
                <w:rFonts w:ascii="Arial" w:hAnsi="Arial" w:cs="Arial"/>
                <w:sz w:val="22"/>
                <w:szCs w:val="22"/>
              </w:rPr>
              <w:t xml:space="preserve"> or may contain a gateway/bridge allowing for the load management signal to be sent to the </w:t>
            </w:r>
            <w:r w:rsidRPr="00374BCB">
              <w:rPr>
                <w:rFonts w:ascii="Arial" w:hAnsi="Arial" w:cs="Arial"/>
                <w:sz w:val="22"/>
                <w:szCs w:val="22"/>
              </w:rPr>
              <w:t>P</w:t>
            </w:r>
            <w:r w:rsidRPr="00374BCB">
              <w:rPr>
                <w:rFonts w:ascii="Arial" w:hAnsi="Arial" w:cs="Arial"/>
                <w:sz w:val="22"/>
                <w:szCs w:val="22"/>
              </w:rPr>
              <w:t>EV</w:t>
            </w:r>
          </w:p>
        </w:tc>
      </w:tr>
      <w:tr w:rsidR="004D1FFD" w:rsidRPr="004D1FFD" w14:paraId="10EE421F" w14:textId="77777777" w:rsidTr="001F3020">
        <w:tc>
          <w:tcPr>
            <w:tcW w:w="2610" w:type="dxa"/>
          </w:tcPr>
          <w:p w14:paraId="2351A1FC" w14:textId="167D9746" w:rsidR="004D1FFD" w:rsidRPr="00374BCB" w:rsidRDefault="004D1FFD" w:rsidP="004D1FFD">
            <w:pPr>
              <w:rPr>
                <w:rFonts w:ascii="Arial" w:hAnsi="Arial" w:cs="Arial"/>
                <w:sz w:val="22"/>
                <w:szCs w:val="22"/>
              </w:rPr>
            </w:pPr>
            <w:r w:rsidRPr="00374BCB">
              <w:rPr>
                <w:rFonts w:ascii="Arial" w:hAnsi="Arial" w:cs="Arial"/>
                <w:sz w:val="22"/>
                <w:szCs w:val="22"/>
              </w:rPr>
              <w:t>California Independent System Operator (CAISO)</w:t>
            </w:r>
          </w:p>
        </w:tc>
        <w:tc>
          <w:tcPr>
            <w:tcW w:w="2790" w:type="dxa"/>
          </w:tcPr>
          <w:p w14:paraId="0DBFF7C6" w14:textId="6B2106E2" w:rsidR="004D1FFD" w:rsidRPr="00374BCB" w:rsidRDefault="004D1FFD" w:rsidP="004D1FFD">
            <w:pPr>
              <w:rPr>
                <w:rFonts w:ascii="Arial" w:hAnsi="Arial" w:cs="Arial"/>
                <w:sz w:val="22"/>
                <w:szCs w:val="22"/>
              </w:rPr>
            </w:pPr>
            <w:r w:rsidRPr="00374BCB">
              <w:rPr>
                <w:rFonts w:ascii="Arial" w:hAnsi="Arial" w:cs="Arial"/>
                <w:sz w:val="22"/>
                <w:szCs w:val="22"/>
              </w:rPr>
              <w:t>System</w:t>
            </w:r>
          </w:p>
        </w:tc>
        <w:tc>
          <w:tcPr>
            <w:tcW w:w="6300" w:type="dxa"/>
          </w:tcPr>
          <w:p w14:paraId="18911563" w14:textId="7ED88424" w:rsidR="004D1FFD" w:rsidRPr="00374BCB" w:rsidRDefault="004D1FFD" w:rsidP="004D1FFD">
            <w:pPr>
              <w:rPr>
                <w:rFonts w:ascii="Arial" w:hAnsi="Arial" w:cs="Arial"/>
                <w:sz w:val="22"/>
                <w:szCs w:val="22"/>
              </w:rPr>
            </w:pPr>
            <w:r w:rsidRPr="00374BCB">
              <w:rPr>
                <w:rFonts w:ascii="Arial" w:hAnsi="Arial" w:cs="Arial"/>
                <w:sz w:val="22"/>
                <w:szCs w:val="22"/>
              </w:rPr>
              <w:t xml:space="preserve">Entity </w:t>
            </w:r>
            <w:r w:rsidRPr="00374BCB">
              <w:rPr>
                <w:rFonts w:ascii="Arial" w:hAnsi="Arial" w:cs="Arial"/>
                <w:sz w:val="22"/>
                <w:szCs w:val="22"/>
              </w:rPr>
              <w:t xml:space="preserve">that </w:t>
            </w:r>
            <w:r w:rsidRPr="00374BCB">
              <w:rPr>
                <w:rFonts w:ascii="Arial" w:hAnsi="Arial" w:cs="Arial"/>
                <w:sz w:val="22"/>
                <w:szCs w:val="22"/>
              </w:rPr>
              <w:t>oversees the operation of California's bulk electric power system, transmission lines, and electricity market generated and transmitted by its member utilities</w:t>
            </w:r>
          </w:p>
        </w:tc>
      </w:tr>
      <w:tr w:rsidR="004D1FFD" w:rsidRPr="004D1FFD" w14:paraId="356BFB61" w14:textId="77777777" w:rsidTr="001F3020">
        <w:tc>
          <w:tcPr>
            <w:tcW w:w="2610" w:type="dxa"/>
          </w:tcPr>
          <w:p w14:paraId="1302448F" w14:textId="663B776E" w:rsidR="004D1FFD" w:rsidRPr="00374BCB" w:rsidRDefault="004D1FFD" w:rsidP="004D1FFD">
            <w:pPr>
              <w:rPr>
                <w:rFonts w:ascii="Arial" w:hAnsi="Arial" w:cs="Arial"/>
                <w:sz w:val="22"/>
                <w:szCs w:val="22"/>
              </w:rPr>
            </w:pPr>
            <w:r w:rsidRPr="00374BCB">
              <w:rPr>
                <w:rFonts w:ascii="Arial" w:hAnsi="Arial" w:cs="Arial"/>
                <w:sz w:val="22"/>
                <w:szCs w:val="22"/>
              </w:rPr>
              <w:t>Service Account Holder</w:t>
            </w:r>
          </w:p>
        </w:tc>
        <w:tc>
          <w:tcPr>
            <w:tcW w:w="2790" w:type="dxa"/>
          </w:tcPr>
          <w:p w14:paraId="590CD20D" w14:textId="1261997F" w:rsidR="004D1FFD" w:rsidRPr="00374BCB" w:rsidRDefault="004D1FFD" w:rsidP="004D1FFD">
            <w:pPr>
              <w:rPr>
                <w:rFonts w:ascii="Arial" w:hAnsi="Arial" w:cs="Arial"/>
                <w:sz w:val="22"/>
                <w:szCs w:val="22"/>
              </w:rPr>
            </w:pPr>
            <w:r w:rsidRPr="00374BCB">
              <w:rPr>
                <w:rFonts w:ascii="Arial" w:hAnsi="Arial" w:cs="Arial"/>
                <w:sz w:val="22"/>
                <w:szCs w:val="22"/>
              </w:rPr>
              <w:t>Person</w:t>
            </w:r>
          </w:p>
        </w:tc>
        <w:tc>
          <w:tcPr>
            <w:tcW w:w="6300" w:type="dxa"/>
          </w:tcPr>
          <w:p w14:paraId="5BE32E16" w14:textId="4F740423" w:rsidR="004D1FFD" w:rsidRPr="00374BCB" w:rsidRDefault="004D1FFD" w:rsidP="004D1FFD">
            <w:pPr>
              <w:rPr>
                <w:rFonts w:ascii="Arial" w:hAnsi="Arial" w:cs="Arial"/>
                <w:sz w:val="22"/>
                <w:szCs w:val="22"/>
              </w:rPr>
            </w:pPr>
            <w:r w:rsidRPr="00374BCB">
              <w:rPr>
                <w:rFonts w:ascii="Arial" w:hAnsi="Arial" w:cs="Arial"/>
                <w:sz w:val="22"/>
                <w:szCs w:val="22"/>
              </w:rPr>
              <w:t xml:space="preserve">The owner or leaser of any </w:t>
            </w:r>
            <w:r w:rsidR="004B7116" w:rsidRPr="00374BCB">
              <w:rPr>
                <w:rFonts w:ascii="Arial" w:hAnsi="Arial" w:cs="Arial"/>
                <w:sz w:val="22"/>
                <w:szCs w:val="22"/>
              </w:rPr>
              <w:t xml:space="preserve">single residence or </w:t>
            </w:r>
            <w:r w:rsidRPr="00374BCB">
              <w:rPr>
                <w:rFonts w:ascii="Arial" w:hAnsi="Arial" w:cs="Arial"/>
                <w:sz w:val="22"/>
                <w:szCs w:val="22"/>
              </w:rPr>
              <w:t>residential f</w:t>
            </w:r>
            <w:r w:rsidR="003E0234" w:rsidRPr="00374BCB">
              <w:rPr>
                <w:rFonts w:ascii="Arial" w:hAnsi="Arial" w:cs="Arial"/>
                <w:sz w:val="22"/>
                <w:szCs w:val="22"/>
              </w:rPr>
              <w:t>acility that is responsible for</w:t>
            </w:r>
            <w:r w:rsidRPr="00374BCB">
              <w:rPr>
                <w:rFonts w:ascii="Arial" w:hAnsi="Arial" w:cs="Arial"/>
                <w:sz w:val="22"/>
                <w:szCs w:val="22"/>
              </w:rPr>
              <w:t xml:space="preserve"> paying the energy and demand cost for </w:t>
            </w:r>
            <w:r w:rsidR="004B7116" w:rsidRPr="00374BCB">
              <w:rPr>
                <w:rFonts w:ascii="Arial" w:hAnsi="Arial" w:cs="Arial"/>
                <w:sz w:val="22"/>
                <w:szCs w:val="22"/>
              </w:rPr>
              <w:t>P</w:t>
            </w:r>
            <w:r w:rsidRPr="00374BCB">
              <w:rPr>
                <w:rFonts w:ascii="Arial" w:hAnsi="Arial" w:cs="Arial"/>
                <w:sz w:val="22"/>
                <w:szCs w:val="22"/>
              </w:rPr>
              <w:t xml:space="preserve">EV charging. </w:t>
            </w:r>
            <w:r w:rsidR="004B7116" w:rsidRPr="00374BCB">
              <w:rPr>
                <w:rFonts w:ascii="Arial" w:hAnsi="Arial" w:cs="Arial"/>
                <w:sz w:val="22"/>
                <w:szCs w:val="22"/>
              </w:rPr>
              <w:t xml:space="preserve"> Assumed to</w:t>
            </w:r>
            <w:r w:rsidRPr="00374BCB">
              <w:rPr>
                <w:rFonts w:ascii="Arial" w:hAnsi="Arial" w:cs="Arial"/>
                <w:sz w:val="22"/>
                <w:szCs w:val="22"/>
              </w:rPr>
              <w:t xml:space="preserve"> be the same as the </w:t>
            </w:r>
            <w:r w:rsidR="004B7116" w:rsidRPr="00374BCB">
              <w:rPr>
                <w:rFonts w:ascii="Arial" w:hAnsi="Arial" w:cs="Arial"/>
                <w:sz w:val="22"/>
                <w:szCs w:val="22"/>
              </w:rPr>
              <w:t>PEV customer</w:t>
            </w:r>
          </w:p>
        </w:tc>
      </w:tr>
      <w:tr w:rsidR="004D1FFD" w:rsidRPr="004D1FFD" w14:paraId="03F0EDE7" w14:textId="77777777" w:rsidTr="001F3020">
        <w:tc>
          <w:tcPr>
            <w:tcW w:w="2610" w:type="dxa"/>
          </w:tcPr>
          <w:p w14:paraId="4EB1DFF0" w14:textId="1422C03F" w:rsidR="004D1FFD" w:rsidRPr="00374BCB" w:rsidRDefault="004B7116" w:rsidP="004D1FFD">
            <w:pPr>
              <w:rPr>
                <w:rFonts w:ascii="Arial" w:hAnsi="Arial" w:cs="Arial"/>
                <w:sz w:val="22"/>
                <w:szCs w:val="22"/>
              </w:rPr>
            </w:pPr>
            <w:r w:rsidRPr="00374BCB">
              <w:rPr>
                <w:rFonts w:ascii="Arial" w:hAnsi="Arial" w:cs="Arial"/>
                <w:sz w:val="22"/>
                <w:szCs w:val="22"/>
              </w:rPr>
              <w:t>Customer</w:t>
            </w:r>
          </w:p>
        </w:tc>
        <w:tc>
          <w:tcPr>
            <w:tcW w:w="2790" w:type="dxa"/>
          </w:tcPr>
          <w:p w14:paraId="18E8CE2F" w14:textId="4B169AA1" w:rsidR="004D1FFD" w:rsidRPr="00374BCB" w:rsidRDefault="004D1FFD" w:rsidP="004D1FFD">
            <w:pPr>
              <w:rPr>
                <w:rFonts w:ascii="Arial" w:hAnsi="Arial" w:cs="Arial"/>
                <w:sz w:val="22"/>
                <w:szCs w:val="22"/>
              </w:rPr>
            </w:pPr>
            <w:r w:rsidRPr="00374BCB">
              <w:rPr>
                <w:rFonts w:ascii="Arial" w:hAnsi="Arial" w:cs="Arial"/>
                <w:sz w:val="22"/>
                <w:szCs w:val="22"/>
              </w:rPr>
              <w:t>Person</w:t>
            </w:r>
          </w:p>
        </w:tc>
        <w:tc>
          <w:tcPr>
            <w:tcW w:w="6300" w:type="dxa"/>
          </w:tcPr>
          <w:p w14:paraId="363AAC4E" w14:textId="7D64F6EB" w:rsidR="004D1FFD" w:rsidRPr="00374BCB" w:rsidRDefault="004D1FFD" w:rsidP="004D1FFD">
            <w:pPr>
              <w:rPr>
                <w:rFonts w:ascii="Arial" w:hAnsi="Arial" w:cs="Arial"/>
                <w:sz w:val="22"/>
                <w:szCs w:val="22"/>
              </w:rPr>
            </w:pPr>
            <w:r w:rsidRPr="00374BCB">
              <w:rPr>
                <w:rFonts w:ascii="Arial" w:hAnsi="Arial" w:cs="Arial"/>
                <w:sz w:val="22"/>
                <w:szCs w:val="22"/>
              </w:rPr>
              <w:t xml:space="preserve">The person who is responsible for charging the vehicle and making decisions for charging. </w:t>
            </w:r>
            <w:r w:rsidR="004B7116" w:rsidRPr="00374BCB">
              <w:rPr>
                <w:rFonts w:ascii="Arial" w:hAnsi="Arial" w:cs="Arial"/>
                <w:sz w:val="22"/>
                <w:szCs w:val="22"/>
              </w:rPr>
              <w:t>Assumes same as</w:t>
            </w:r>
            <w:r w:rsidRPr="00374BCB">
              <w:rPr>
                <w:rFonts w:ascii="Arial" w:hAnsi="Arial" w:cs="Arial"/>
                <w:sz w:val="22"/>
                <w:szCs w:val="22"/>
              </w:rPr>
              <w:t xml:space="preserve"> the service account holder</w:t>
            </w:r>
            <w:r w:rsidR="004B7116" w:rsidRPr="00374BCB">
              <w:rPr>
                <w:rFonts w:ascii="Arial" w:hAnsi="Arial" w:cs="Arial"/>
                <w:sz w:val="22"/>
                <w:szCs w:val="22"/>
              </w:rPr>
              <w:t>.</w:t>
            </w:r>
          </w:p>
        </w:tc>
      </w:tr>
      <w:tr w:rsidR="004D1FFD" w:rsidRPr="004D1FFD" w14:paraId="73B919AF" w14:textId="77777777" w:rsidTr="001F3020">
        <w:tc>
          <w:tcPr>
            <w:tcW w:w="2610" w:type="dxa"/>
          </w:tcPr>
          <w:p w14:paraId="5946CE02" w14:textId="1F1B3DFF" w:rsidR="004D1FFD" w:rsidRPr="00374BCB" w:rsidRDefault="004D1FFD" w:rsidP="004D1FFD">
            <w:pPr>
              <w:rPr>
                <w:rFonts w:ascii="Arial" w:hAnsi="Arial" w:cs="Arial"/>
                <w:sz w:val="22"/>
                <w:szCs w:val="22"/>
              </w:rPr>
            </w:pPr>
            <w:r w:rsidRPr="00374BCB">
              <w:rPr>
                <w:rFonts w:ascii="Arial" w:hAnsi="Arial" w:cs="Arial"/>
                <w:sz w:val="22"/>
                <w:szCs w:val="22"/>
              </w:rPr>
              <w:t>Distribution System Operator</w:t>
            </w:r>
          </w:p>
        </w:tc>
        <w:tc>
          <w:tcPr>
            <w:tcW w:w="2790" w:type="dxa"/>
          </w:tcPr>
          <w:p w14:paraId="0C5A1286" w14:textId="73261702" w:rsidR="004D1FFD" w:rsidRPr="00374BCB" w:rsidRDefault="004D1FFD" w:rsidP="004D1FFD">
            <w:pPr>
              <w:rPr>
                <w:rFonts w:ascii="Arial" w:hAnsi="Arial" w:cs="Arial"/>
                <w:sz w:val="22"/>
                <w:szCs w:val="22"/>
              </w:rPr>
            </w:pPr>
            <w:r w:rsidRPr="00374BCB">
              <w:rPr>
                <w:rFonts w:ascii="Arial" w:hAnsi="Arial" w:cs="Arial"/>
                <w:sz w:val="22"/>
                <w:szCs w:val="22"/>
              </w:rPr>
              <w:t>System</w:t>
            </w:r>
          </w:p>
        </w:tc>
        <w:tc>
          <w:tcPr>
            <w:tcW w:w="6300" w:type="dxa"/>
          </w:tcPr>
          <w:p w14:paraId="76855274" w14:textId="168EC2A4" w:rsidR="004D1FFD" w:rsidRPr="00374BCB" w:rsidRDefault="004D1FFD" w:rsidP="004D1FFD">
            <w:pPr>
              <w:rPr>
                <w:rFonts w:ascii="Arial" w:hAnsi="Arial" w:cs="Arial"/>
                <w:sz w:val="22"/>
                <w:szCs w:val="22"/>
              </w:rPr>
            </w:pPr>
            <w:r w:rsidRPr="00374BCB">
              <w:rPr>
                <w:rFonts w:ascii="Arial" w:hAnsi="Arial" w:cs="Arial"/>
                <w:color w:val="333333"/>
                <w:sz w:val="22"/>
                <w:szCs w:val="22"/>
                <w:shd w:val="clear" w:color="auto" w:fill="FFFFFF"/>
              </w:rPr>
              <w:t xml:space="preserve">Entity responsible for operating the </w:t>
            </w:r>
            <w:r w:rsidR="003B6FCF" w:rsidRPr="00374BCB">
              <w:rPr>
                <w:rFonts w:ascii="Arial" w:hAnsi="Arial" w:cs="Arial"/>
                <w:color w:val="333333"/>
                <w:sz w:val="22"/>
                <w:szCs w:val="22"/>
                <w:shd w:val="clear" w:color="auto" w:fill="FFFFFF"/>
              </w:rPr>
              <w:t xml:space="preserve">electricity </w:t>
            </w:r>
            <w:r w:rsidRPr="00374BCB">
              <w:rPr>
                <w:rFonts w:ascii="Arial" w:hAnsi="Arial" w:cs="Arial"/>
                <w:color w:val="333333"/>
                <w:sz w:val="22"/>
                <w:szCs w:val="22"/>
                <w:shd w:val="clear" w:color="auto" w:fill="FFFFFF"/>
              </w:rPr>
              <w:t>distribution system in a given area.</w:t>
            </w:r>
          </w:p>
        </w:tc>
      </w:tr>
      <w:tr w:rsidR="004B7116" w:rsidRPr="004D1FFD" w14:paraId="008E77EA" w14:textId="77777777" w:rsidTr="001F3020">
        <w:tc>
          <w:tcPr>
            <w:tcW w:w="2610" w:type="dxa"/>
          </w:tcPr>
          <w:p w14:paraId="6AA179D5" w14:textId="76AF76AD" w:rsidR="004B7116" w:rsidRPr="00374BCB" w:rsidRDefault="004B7116" w:rsidP="004D1FFD">
            <w:pPr>
              <w:rPr>
                <w:rFonts w:ascii="Arial" w:hAnsi="Arial" w:cs="Arial"/>
                <w:sz w:val="22"/>
                <w:szCs w:val="22"/>
              </w:rPr>
            </w:pPr>
            <w:r w:rsidRPr="00374BCB">
              <w:rPr>
                <w:rFonts w:ascii="Arial" w:hAnsi="Arial" w:cs="Arial"/>
                <w:sz w:val="22"/>
                <w:szCs w:val="22"/>
              </w:rPr>
              <w:t>Utility</w:t>
            </w:r>
          </w:p>
        </w:tc>
        <w:tc>
          <w:tcPr>
            <w:tcW w:w="2790" w:type="dxa"/>
          </w:tcPr>
          <w:p w14:paraId="4FCBC1B6" w14:textId="5A111E3B" w:rsidR="004B7116" w:rsidRPr="00374BCB" w:rsidRDefault="004B7116" w:rsidP="004D1FFD">
            <w:pPr>
              <w:rPr>
                <w:rFonts w:ascii="Arial" w:hAnsi="Arial" w:cs="Arial"/>
                <w:sz w:val="22"/>
                <w:szCs w:val="22"/>
              </w:rPr>
            </w:pPr>
            <w:r w:rsidRPr="00374BCB">
              <w:rPr>
                <w:rFonts w:ascii="Arial" w:hAnsi="Arial" w:cs="Arial"/>
                <w:sz w:val="22"/>
                <w:szCs w:val="22"/>
              </w:rPr>
              <w:t>System</w:t>
            </w:r>
          </w:p>
        </w:tc>
        <w:tc>
          <w:tcPr>
            <w:tcW w:w="6300" w:type="dxa"/>
          </w:tcPr>
          <w:p w14:paraId="56D33B15" w14:textId="66BB4B43" w:rsidR="004B7116" w:rsidRPr="00374BCB" w:rsidRDefault="004B7116" w:rsidP="004D1FFD">
            <w:pPr>
              <w:rPr>
                <w:rFonts w:ascii="Arial" w:hAnsi="Arial" w:cs="Arial"/>
                <w:color w:val="333333"/>
                <w:sz w:val="22"/>
                <w:szCs w:val="22"/>
                <w:shd w:val="clear" w:color="auto" w:fill="FFFFFF"/>
              </w:rPr>
            </w:pPr>
            <w:r w:rsidRPr="00374BCB">
              <w:rPr>
                <w:rFonts w:ascii="Arial" w:hAnsi="Arial" w:cs="Arial"/>
                <w:color w:val="222222"/>
                <w:sz w:val="22"/>
                <w:szCs w:val="22"/>
                <w:shd w:val="clear" w:color="auto" w:fill="FFFFFF"/>
              </w:rPr>
              <w:t>A</w:t>
            </w:r>
            <w:r w:rsidRPr="00374BCB">
              <w:rPr>
                <w:rFonts w:ascii="Arial" w:hAnsi="Arial" w:cs="Arial"/>
                <w:color w:val="222222"/>
                <w:sz w:val="22"/>
                <w:szCs w:val="22"/>
                <w:shd w:val="clear" w:color="auto" w:fill="FFFFFF"/>
              </w:rPr>
              <w:t xml:space="preserve"> company in the</w:t>
            </w:r>
            <w:r w:rsidRPr="00374BCB">
              <w:rPr>
                <w:rStyle w:val="apple-converted-space"/>
                <w:rFonts w:ascii="Arial" w:hAnsi="Arial" w:cs="Arial"/>
                <w:color w:val="222222"/>
                <w:sz w:val="22"/>
                <w:szCs w:val="22"/>
                <w:shd w:val="clear" w:color="auto" w:fill="FFFFFF"/>
              </w:rPr>
              <w:t> </w:t>
            </w:r>
            <w:r w:rsidRPr="00374BCB">
              <w:rPr>
                <w:rFonts w:ascii="Arial" w:hAnsi="Arial" w:cs="Arial"/>
                <w:bCs/>
                <w:color w:val="222222"/>
                <w:sz w:val="22"/>
                <w:szCs w:val="22"/>
                <w:shd w:val="clear" w:color="auto" w:fill="FFFFFF"/>
              </w:rPr>
              <w:t>electric</w:t>
            </w:r>
            <w:r w:rsidRPr="00374BCB">
              <w:rPr>
                <w:rStyle w:val="apple-converted-space"/>
                <w:rFonts w:ascii="Arial" w:hAnsi="Arial" w:cs="Arial"/>
                <w:color w:val="222222"/>
                <w:sz w:val="22"/>
                <w:szCs w:val="22"/>
                <w:shd w:val="clear" w:color="auto" w:fill="FFFFFF"/>
              </w:rPr>
              <w:t> </w:t>
            </w:r>
            <w:r w:rsidRPr="00374BCB">
              <w:rPr>
                <w:rFonts w:ascii="Arial" w:hAnsi="Arial" w:cs="Arial"/>
                <w:color w:val="222222"/>
                <w:sz w:val="22"/>
                <w:szCs w:val="22"/>
                <w:shd w:val="clear" w:color="auto" w:fill="FFFFFF"/>
              </w:rPr>
              <w:t>power industry that engages in</w:t>
            </w:r>
            <w:r w:rsidRPr="00374BCB">
              <w:rPr>
                <w:rStyle w:val="apple-converted-space"/>
                <w:rFonts w:ascii="Arial" w:hAnsi="Arial" w:cs="Arial"/>
                <w:color w:val="222222"/>
                <w:sz w:val="22"/>
                <w:szCs w:val="22"/>
                <w:shd w:val="clear" w:color="auto" w:fill="FFFFFF"/>
              </w:rPr>
              <w:t> </w:t>
            </w:r>
            <w:r w:rsidRPr="00374BCB">
              <w:rPr>
                <w:rFonts w:ascii="Arial" w:hAnsi="Arial" w:cs="Arial"/>
                <w:bCs/>
                <w:color w:val="222222"/>
                <w:sz w:val="22"/>
                <w:szCs w:val="22"/>
                <w:shd w:val="clear" w:color="auto" w:fill="FFFFFF"/>
              </w:rPr>
              <w:t>electricity</w:t>
            </w:r>
            <w:r w:rsidRPr="00374BCB">
              <w:rPr>
                <w:rStyle w:val="apple-converted-space"/>
                <w:rFonts w:ascii="Arial" w:hAnsi="Arial" w:cs="Arial"/>
                <w:color w:val="222222"/>
                <w:sz w:val="22"/>
                <w:szCs w:val="22"/>
                <w:shd w:val="clear" w:color="auto" w:fill="FFFFFF"/>
              </w:rPr>
              <w:t> </w:t>
            </w:r>
            <w:r w:rsidRPr="00374BCB">
              <w:rPr>
                <w:rFonts w:ascii="Arial" w:hAnsi="Arial" w:cs="Arial"/>
                <w:color w:val="222222"/>
                <w:sz w:val="22"/>
                <w:szCs w:val="22"/>
                <w:shd w:val="clear" w:color="auto" w:fill="FFFFFF"/>
              </w:rPr>
              <w:t>generation and distribution of</w:t>
            </w:r>
            <w:r w:rsidRPr="00374BCB">
              <w:rPr>
                <w:rStyle w:val="apple-converted-space"/>
                <w:rFonts w:ascii="Arial" w:hAnsi="Arial" w:cs="Arial"/>
                <w:color w:val="222222"/>
                <w:sz w:val="22"/>
                <w:szCs w:val="22"/>
                <w:shd w:val="clear" w:color="auto" w:fill="FFFFFF"/>
              </w:rPr>
              <w:t> </w:t>
            </w:r>
            <w:r w:rsidRPr="00374BCB">
              <w:rPr>
                <w:rFonts w:ascii="Arial" w:hAnsi="Arial" w:cs="Arial"/>
                <w:bCs/>
                <w:color w:val="222222"/>
                <w:sz w:val="22"/>
                <w:szCs w:val="22"/>
                <w:shd w:val="clear" w:color="auto" w:fill="FFFFFF"/>
              </w:rPr>
              <w:t>electricity</w:t>
            </w:r>
            <w:r w:rsidRPr="00374BCB">
              <w:rPr>
                <w:rStyle w:val="apple-converted-space"/>
                <w:rFonts w:ascii="Arial" w:hAnsi="Arial" w:cs="Arial"/>
                <w:color w:val="222222"/>
                <w:sz w:val="22"/>
                <w:szCs w:val="22"/>
                <w:shd w:val="clear" w:color="auto" w:fill="FFFFFF"/>
              </w:rPr>
              <w:t> </w:t>
            </w:r>
            <w:r w:rsidRPr="00374BCB">
              <w:rPr>
                <w:rFonts w:ascii="Arial" w:hAnsi="Arial" w:cs="Arial"/>
                <w:color w:val="222222"/>
                <w:sz w:val="22"/>
                <w:szCs w:val="22"/>
                <w:shd w:val="clear" w:color="auto" w:fill="FFFFFF"/>
              </w:rPr>
              <w:t>for sale generally in a regulated market</w:t>
            </w:r>
          </w:p>
        </w:tc>
      </w:tr>
    </w:tbl>
    <w:p w14:paraId="561F293C" w14:textId="14AB24E6" w:rsidR="00E6520F" w:rsidRDefault="00E6520F" w:rsidP="002A0AB9">
      <w:pPr>
        <w:pStyle w:val="Heading1"/>
        <w:rPr>
          <w:rFonts w:asciiTheme="minorHAnsi" w:eastAsiaTheme="minorEastAsia" w:hAnsiTheme="minorHAnsi" w:cstheme="minorBidi"/>
          <w:color w:val="auto"/>
          <w:sz w:val="22"/>
          <w:szCs w:val="22"/>
        </w:rPr>
      </w:pPr>
    </w:p>
    <w:p w14:paraId="04B347A7" w14:textId="77777777" w:rsidR="00E6520F" w:rsidRDefault="00E6520F">
      <w:pPr>
        <w:rPr>
          <w:sz w:val="22"/>
          <w:szCs w:val="22"/>
        </w:rPr>
      </w:pPr>
      <w:r>
        <w:rPr>
          <w:sz w:val="22"/>
          <w:szCs w:val="22"/>
        </w:rPr>
        <w:br w:type="page"/>
      </w:r>
    </w:p>
    <w:p w14:paraId="4D38BCAD" w14:textId="77777777" w:rsidR="00D9386E" w:rsidRPr="001F3020" w:rsidRDefault="00D9386E" w:rsidP="002A0AB9">
      <w:pPr>
        <w:pStyle w:val="Heading1"/>
        <w:rPr>
          <w:sz w:val="20"/>
          <w:szCs w:val="20"/>
        </w:rPr>
      </w:pPr>
    </w:p>
    <w:p w14:paraId="047DC1F6" w14:textId="77777777" w:rsidR="00D9386E" w:rsidRDefault="00D9386E"/>
    <w:p w14:paraId="6786A1B4" w14:textId="02592565" w:rsidR="00D9386E" w:rsidRPr="007644E1" w:rsidRDefault="001443F3" w:rsidP="001F3020">
      <w:pPr>
        <w:pStyle w:val="Heading2"/>
        <w:rPr>
          <w:b/>
          <w:sz w:val="28"/>
        </w:rPr>
      </w:pPr>
      <w:r w:rsidRPr="007644E1">
        <w:rPr>
          <w:b/>
          <w:sz w:val="28"/>
        </w:rPr>
        <w:t xml:space="preserve">Alternate </w:t>
      </w:r>
      <w:r w:rsidR="005528B6" w:rsidRPr="007644E1">
        <w:rPr>
          <w:b/>
          <w:sz w:val="28"/>
        </w:rPr>
        <w:t xml:space="preserve">Scenario: </w:t>
      </w:r>
      <w:r w:rsidR="00D662AC" w:rsidRPr="007644E1">
        <w:rPr>
          <w:b/>
          <w:sz w:val="28"/>
        </w:rPr>
        <w:t>Dynamic Pricing Event Signals</w:t>
      </w:r>
    </w:p>
    <w:p w14:paraId="32F65E18" w14:textId="77777777" w:rsidR="001F3020" w:rsidRDefault="001F3020"/>
    <w:tbl>
      <w:tblPr>
        <w:tblStyle w:val="TableGrid"/>
        <w:tblW w:w="11700" w:type="dxa"/>
        <w:tblInd w:w="-1175" w:type="dxa"/>
        <w:tblLook w:val="04A0" w:firstRow="1" w:lastRow="0" w:firstColumn="1" w:lastColumn="0" w:noHBand="0" w:noVBand="1"/>
      </w:tblPr>
      <w:tblGrid>
        <w:gridCol w:w="2917"/>
        <w:gridCol w:w="2918"/>
        <w:gridCol w:w="2947"/>
        <w:gridCol w:w="2918"/>
      </w:tblGrid>
      <w:tr w:rsidR="001F3020" w14:paraId="434FE951" w14:textId="77777777" w:rsidTr="008F25CE">
        <w:trPr>
          <w:trHeight w:val="629"/>
        </w:trPr>
        <w:tc>
          <w:tcPr>
            <w:tcW w:w="2925" w:type="dxa"/>
            <w:shd w:val="clear" w:color="auto" w:fill="E7E6E6" w:themeFill="background2"/>
            <w:vAlign w:val="center"/>
          </w:tcPr>
          <w:p w14:paraId="3084812E" w14:textId="77777777" w:rsidR="001F3020" w:rsidRPr="001F3020" w:rsidRDefault="001F3020" w:rsidP="001F3020">
            <w:pPr>
              <w:jc w:val="center"/>
              <w:rPr>
                <w:b/>
                <w:bCs/>
              </w:rPr>
            </w:pPr>
            <w:r w:rsidRPr="001F3020">
              <w:rPr>
                <w:b/>
                <w:bCs/>
              </w:rPr>
              <w:t>Triggering Event</w:t>
            </w:r>
          </w:p>
        </w:tc>
        <w:tc>
          <w:tcPr>
            <w:tcW w:w="2925" w:type="dxa"/>
            <w:shd w:val="clear" w:color="auto" w:fill="E7E6E6" w:themeFill="background2"/>
            <w:vAlign w:val="center"/>
          </w:tcPr>
          <w:p w14:paraId="665C9FF8" w14:textId="77777777" w:rsidR="001F3020" w:rsidRPr="001F3020" w:rsidRDefault="001F3020" w:rsidP="001F3020">
            <w:pPr>
              <w:jc w:val="center"/>
              <w:rPr>
                <w:b/>
                <w:bCs/>
              </w:rPr>
            </w:pPr>
            <w:r w:rsidRPr="001F3020">
              <w:rPr>
                <w:b/>
                <w:bCs/>
              </w:rPr>
              <w:t>Primary Actor</w:t>
            </w:r>
          </w:p>
        </w:tc>
        <w:tc>
          <w:tcPr>
            <w:tcW w:w="2925" w:type="dxa"/>
            <w:shd w:val="clear" w:color="auto" w:fill="E7E6E6" w:themeFill="background2"/>
            <w:vAlign w:val="center"/>
          </w:tcPr>
          <w:p w14:paraId="0A71DA45" w14:textId="77777777" w:rsidR="001F3020" w:rsidRPr="001F3020" w:rsidRDefault="001F3020" w:rsidP="001F3020">
            <w:pPr>
              <w:jc w:val="center"/>
              <w:rPr>
                <w:b/>
                <w:bCs/>
              </w:rPr>
            </w:pPr>
            <w:r w:rsidRPr="001F3020">
              <w:rPr>
                <w:b/>
                <w:bCs/>
              </w:rPr>
              <w:t>Pre-Condition</w:t>
            </w:r>
          </w:p>
        </w:tc>
        <w:tc>
          <w:tcPr>
            <w:tcW w:w="2925" w:type="dxa"/>
            <w:shd w:val="clear" w:color="auto" w:fill="E7E6E6" w:themeFill="background2"/>
            <w:vAlign w:val="center"/>
          </w:tcPr>
          <w:p w14:paraId="4CCF2F21" w14:textId="77777777" w:rsidR="001F3020" w:rsidRPr="001F3020" w:rsidRDefault="001F3020" w:rsidP="001F3020">
            <w:pPr>
              <w:jc w:val="center"/>
              <w:rPr>
                <w:b/>
                <w:bCs/>
              </w:rPr>
            </w:pPr>
            <w:r w:rsidRPr="001F3020">
              <w:rPr>
                <w:b/>
                <w:bCs/>
              </w:rPr>
              <w:t>Post-Condition</w:t>
            </w:r>
          </w:p>
        </w:tc>
      </w:tr>
      <w:tr w:rsidR="005528B6" w:rsidRPr="00EE3F8B" w14:paraId="12E2D8A9" w14:textId="77777777" w:rsidTr="008F25CE">
        <w:tc>
          <w:tcPr>
            <w:tcW w:w="2925" w:type="dxa"/>
          </w:tcPr>
          <w:p w14:paraId="49348ADD" w14:textId="25081413" w:rsidR="008F25CE" w:rsidRPr="00374BCB" w:rsidRDefault="008F25CE" w:rsidP="00BF02DE">
            <w:pPr>
              <w:pStyle w:val="TableText"/>
              <w:rPr>
                <w:sz w:val="22"/>
                <w:szCs w:val="22"/>
              </w:rPr>
            </w:pPr>
            <w:bookmarkStart w:id="1" w:name="_Hlk484140851"/>
            <w:r w:rsidRPr="00374BCB">
              <w:rPr>
                <w:sz w:val="22"/>
                <w:szCs w:val="22"/>
              </w:rPr>
              <w:t>Utility or DSO</w:t>
            </w:r>
            <w:r w:rsidRPr="00374BCB">
              <w:rPr>
                <w:sz w:val="22"/>
                <w:szCs w:val="22"/>
              </w:rPr>
              <w:t xml:space="preserve"> forecasts or observes an imbalance of load vs generation </w:t>
            </w:r>
            <w:r w:rsidRPr="00374BCB">
              <w:rPr>
                <w:sz w:val="22"/>
                <w:szCs w:val="22"/>
              </w:rPr>
              <w:t>and transmits dynamic price signal</w:t>
            </w:r>
          </w:p>
        </w:tc>
        <w:tc>
          <w:tcPr>
            <w:tcW w:w="2925" w:type="dxa"/>
          </w:tcPr>
          <w:p w14:paraId="7FC00C55" w14:textId="1C01E043" w:rsidR="008F25CE" w:rsidRPr="00374BCB" w:rsidRDefault="008F25CE" w:rsidP="00BF02DE">
            <w:pPr>
              <w:pStyle w:val="TableText"/>
              <w:rPr>
                <w:sz w:val="22"/>
                <w:szCs w:val="22"/>
              </w:rPr>
            </w:pPr>
            <w:r w:rsidRPr="00374BCB">
              <w:rPr>
                <w:sz w:val="22"/>
                <w:szCs w:val="22"/>
              </w:rPr>
              <w:t>Aggregator</w:t>
            </w:r>
          </w:p>
        </w:tc>
        <w:tc>
          <w:tcPr>
            <w:tcW w:w="2925" w:type="dxa"/>
          </w:tcPr>
          <w:p w14:paraId="05A62719" w14:textId="00A0CDCC" w:rsidR="008F25CE" w:rsidRPr="00374BCB" w:rsidRDefault="005528B6" w:rsidP="00BF02DE">
            <w:pPr>
              <w:pStyle w:val="TableText"/>
              <w:ind w:left="0"/>
              <w:rPr>
                <w:sz w:val="22"/>
                <w:szCs w:val="22"/>
              </w:rPr>
            </w:pPr>
            <w:r w:rsidRPr="00374BCB">
              <w:rPr>
                <w:sz w:val="22"/>
                <w:szCs w:val="22"/>
              </w:rPr>
              <w:t xml:space="preserve">Utility/Aggregator/Customer </w:t>
            </w:r>
            <w:r w:rsidR="008F25CE" w:rsidRPr="00374BCB">
              <w:rPr>
                <w:sz w:val="22"/>
                <w:szCs w:val="22"/>
              </w:rPr>
              <w:t>P</w:t>
            </w:r>
            <w:r w:rsidRPr="00374BCB">
              <w:rPr>
                <w:sz w:val="22"/>
                <w:szCs w:val="22"/>
              </w:rPr>
              <w:t>rogram co</w:t>
            </w:r>
            <w:r w:rsidR="008F25CE" w:rsidRPr="00374BCB">
              <w:rPr>
                <w:sz w:val="22"/>
                <w:szCs w:val="22"/>
              </w:rPr>
              <w:t xml:space="preserve">ntracts are in place. </w:t>
            </w:r>
          </w:p>
        </w:tc>
        <w:tc>
          <w:tcPr>
            <w:tcW w:w="2925" w:type="dxa"/>
          </w:tcPr>
          <w:p w14:paraId="52369444" w14:textId="77777777" w:rsidR="008F25CE" w:rsidRPr="00374BCB" w:rsidRDefault="008F25CE" w:rsidP="00BF02DE">
            <w:pPr>
              <w:pStyle w:val="TableText"/>
              <w:rPr>
                <w:sz w:val="22"/>
                <w:szCs w:val="22"/>
              </w:rPr>
            </w:pPr>
            <w:r w:rsidRPr="00374BCB">
              <w:rPr>
                <w:sz w:val="22"/>
                <w:szCs w:val="22"/>
              </w:rPr>
              <w:t>Generation has been restored and the load shedding event has concluded.</w:t>
            </w:r>
          </w:p>
        </w:tc>
      </w:tr>
      <w:bookmarkEnd w:id="1"/>
    </w:tbl>
    <w:p w14:paraId="293F8F01" w14:textId="77777777" w:rsidR="001F3020" w:rsidRDefault="001F3020"/>
    <w:p w14:paraId="065DF23B" w14:textId="77777777" w:rsidR="001F3020" w:rsidRDefault="001F3020" w:rsidP="001F3020">
      <w:pPr>
        <w:pStyle w:val="Heading2"/>
      </w:pPr>
      <w:r>
        <w:t>Steps for this scenario</w:t>
      </w:r>
    </w:p>
    <w:p w14:paraId="105E8420" w14:textId="77777777" w:rsidR="001F3020" w:rsidRPr="001F3020" w:rsidRDefault="001F3020" w:rsidP="001F3020"/>
    <w:tbl>
      <w:tblPr>
        <w:tblStyle w:val="TableGrid"/>
        <w:tblW w:w="11700" w:type="dxa"/>
        <w:tblInd w:w="-1175" w:type="dxa"/>
        <w:tblLook w:val="04A0" w:firstRow="1" w:lastRow="0" w:firstColumn="1" w:lastColumn="0" w:noHBand="0" w:noVBand="1"/>
      </w:tblPr>
      <w:tblGrid>
        <w:gridCol w:w="990"/>
        <w:gridCol w:w="2250"/>
        <w:gridCol w:w="5220"/>
        <w:gridCol w:w="3240"/>
      </w:tblGrid>
      <w:tr w:rsidR="001F3020" w14:paraId="7BE664AB" w14:textId="77777777" w:rsidTr="008F25CE">
        <w:trPr>
          <w:trHeight w:val="629"/>
        </w:trPr>
        <w:tc>
          <w:tcPr>
            <w:tcW w:w="990" w:type="dxa"/>
            <w:shd w:val="clear" w:color="auto" w:fill="E7E6E6" w:themeFill="background2"/>
            <w:vAlign w:val="center"/>
          </w:tcPr>
          <w:p w14:paraId="14FF88FC" w14:textId="77777777" w:rsidR="001F3020" w:rsidRPr="001F3020" w:rsidRDefault="001F3020" w:rsidP="00AC588E">
            <w:pPr>
              <w:jc w:val="center"/>
              <w:rPr>
                <w:b/>
                <w:bCs/>
              </w:rPr>
            </w:pPr>
            <w:r>
              <w:rPr>
                <w:b/>
                <w:bCs/>
              </w:rPr>
              <w:t>Step #</w:t>
            </w:r>
          </w:p>
        </w:tc>
        <w:tc>
          <w:tcPr>
            <w:tcW w:w="2250" w:type="dxa"/>
            <w:shd w:val="clear" w:color="auto" w:fill="E7E6E6" w:themeFill="background2"/>
            <w:vAlign w:val="center"/>
          </w:tcPr>
          <w:p w14:paraId="2A36D85B" w14:textId="77777777" w:rsidR="001F3020" w:rsidRPr="001F3020" w:rsidRDefault="001F3020" w:rsidP="00AC588E">
            <w:pPr>
              <w:jc w:val="center"/>
              <w:rPr>
                <w:b/>
                <w:bCs/>
              </w:rPr>
            </w:pPr>
            <w:r>
              <w:rPr>
                <w:b/>
                <w:bCs/>
              </w:rPr>
              <w:t>Actor</w:t>
            </w:r>
          </w:p>
        </w:tc>
        <w:tc>
          <w:tcPr>
            <w:tcW w:w="5220" w:type="dxa"/>
            <w:shd w:val="clear" w:color="auto" w:fill="E7E6E6" w:themeFill="background2"/>
            <w:vAlign w:val="center"/>
          </w:tcPr>
          <w:p w14:paraId="1516E65D" w14:textId="77777777" w:rsidR="001F3020" w:rsidRPr="001F3020" w:rsidRDefault="001F3020" w:rsidP="00AC588E">
            <w:pPr>
              <w:jc w:val="center"/>
              <w:rPr>
                <w:b/>
                <w:bCs/>
              </w:rPr>
            </w:pPr>
            <w:r>
              <w:rPr>
                <w:b/>
                <w:bCs/>
              </w:rPr>
              <w:t>Description of the Step</w:t>
            </w:r>
          </w:p>
        </w:tc>
        <w:tc>
          <w:tcPr>
            <w:tcW w:w="3240" w:type="dxa"/>
            <w:shd w:val="clear" w:color="auto" w:fill="E7E6E6" w:themeFill="background2"/>
            <w:vAlign w:val="center"/>
          </w:tcPr>
          <w:p w14:paraId="2A904651" w14:textId="77777777" w:rsidR="001F3020" w:rsidRPr="001F3020" w:rsidRDefault="001F3020" w:rsidP="00AC588E">
            <w:pPr>
              <w:jc w:val="center"/>
              <w:rPr>
                <w:b/>
                <w:bCs/>
              </w:rPr>
            </w:pPr>
            <w:r>
              <w:rPr>
                <w:b/>
                <w:bCs/>
              </w:rPr>
              <w:t>Additional Notes</w:t>
            </w:r>
          </w:p>
        </w:tc>
      </w:tr>
      <w:tr w:rsidR="001F3020" w14:paraId="696A08C8" w14:textId="77777777" w:rsidTr="00A51E31">
        <w:trPr>
          <w:trHeight w:val="1700"/>
        </w:trPr>
        <w:tc>
          <w:tcPr>
            <w:tcW w:w="990" w:type="dxa"/>
          </w:tcPr>
          <w:p w14:paraId="24EE6309" w14:textId="55117E65" w:rsidR="001F3020" w:rsidRPr="00374BCB" w:rsidRDefault="00A20A2A" w:rsidP="00AC588E">
            <w:pPr>
              <w:rPr>
                <w:rFonts w:ascii="Arial" w:hAnsi="Arial" w:cs="Arial"/>
                <w:sz w:val="22"/>
                <w:szCs w:val="22"/>
              </w:rPr>
            </w:pPr>
            <w:r w:rsidRPr="00374BCB">
              <w:rPr>
                <w:rFonts w:ascii="Arial" w:hAnsi="Arial" w:cs="Arial"/>
                <w:sz w:val="22"/>
                <w:szCs w:val="22"/>
              </w:rPr>
              <w:t>1</w:t>
            </w:r>
          </w:p>
        </w:tc>
        <w:tc>
          <w:tcPr>
            <w:tcW w:w="2250" w:type="dxa"/>
            <w:shd w:val="clear" w:color="auto" w:fill="auto"/>
          </w:tcPr>
          <w:p w14:paraId="685A0A90" w14:textId="019BEF24" w:rsidR="001F3020" w:rsidRPr="00374BCB" w:rsidRDefault="005528B6" w:rsidP="00AC588E">
            <w:pPr>
              <w:rPr>
                <w:rFonts w:ascii="Arial" w:hAnsi="Arial" w:cs="Arial"/>
                <w:sz w:val="22"/>
                <w:szCs w:val="22"/>
              </w:rPr>
            </w:pPr>
            <w:r w:rsidRPr="00374BCB">
              <w:rPr>
                <w:rFonts w:ascii="Arial" w:hAnsi="Arial" w:cs="Arial"/>
                <w:sz w:val="22"/>
                <w:szCs w:val="22"/>
              </w:rPr>
              <w:t>Utility</w:t>
            </w:r>
          </w:p>
        </w:tc>
        <w:tc>
          <w:tcPr>
            <w:tcW w:w="5220" w:type="dxa"/>
            <w:shd w:val="clear" w:color="auto" w:fill="auto"/>
          </w:tcPr>
          <w:p w14:paraId="61541C4A" w14:textId="57FC6CF2" w:rsidR="001F3020" w:rsidRPr="00374BCB" w:rsidRDefault="005528B6" w:rsidP="00AC588E">
            <w:pPr>
              <w:rPr>
                <w:rFonts w:ascii="Arial" w:hAnsi="Arial" w:cs="Arial"/>
                <w:sz w:val="22"/>
                <w:szCs w:val="22"/>
              </w:rPr>
            </w:pPr>
            <w:r w:rsidRPr="00374BCB">
              <w:rPr>
                <w:rFonts w:ascii="Arial" w:hAnsi="Arial" w:cs="Arial"/>
                <w:sz w:val="22"/>
                <w:szCs w:val="22"/>
              </w:rPr>
              <w:t xml:space="preserve">Observes </w:t>
            </w:r>
            <w:r w:rsidR="00F101B9" w:rsidRPr="00374BCB">
              <w:rPr>
                <w:rFonts w:ascii="Arial" w:hAnsi="Arial" w:cs="Arial"/>
                <w:sz w:val="22"/>
                <w:szCs w:val="22"/>
              </w:rPr>
              <w:t xml:space="preserve">or projects an </w:t>
            </w:r>
            <w:r w:rsidRPr="00374BCB">
              <w:rPr>
                <w:rFonts w:ascii="Arial" w:hAnsi="Arial" w:cs="Arial"/>
                <w:sz w:val="22"/>
                <w:szCs w:val="22"/>
              </w:rPr>
              <w:t>imbalance of load vs generation</w:t>
            </w:r>
            <w:r w:rsidR="00365E18">
              <w:rPr>
                <w:rFonts w:ascii="Arial" w:hAnsi="Arial" w:cs="Arial"/>
                <w:sz w:val="22"/>
                <w:szCs w:val="22"/>
              </w:rPr>
              <w:t>, determines</w:t>
            </w:r>
            <w:r w:rsidRPr="00374BCB">
              <w:rPr>
                <w:rFonts w:ascii="Arial" w:hAnsi="Arial" w:cs="Arial"/>
                <w:sz w:val="22"/>
                <w:szCs w:val="22"/>
              </w:rPr>
              <w:t xml:space="preserve"> and transmits dynamic price signal utilizing utility industry applied communications protocol (OpenADR or IEEE2030.5) to the designated aggregators</w:t>
            </w:r>
            <w:r w:rsidR="00A51E31">
              <w:rPr>
                <w:rFonts w:ascii="Arial" w:hAnsi="Arial" w:cs="Arial"/>
                <w:sz w:val="22"/>
                <w:szCs w:val="22"/>
              </w:rPr>
              <w:t>. Signals can be region specific such as by SubLAP</w:t>
            </w:r>
            <w:r w:rsidR="0020792E">
              <w:rPr>
                <w:rFonts w:ascii="Arial" w:hAnsi="Arial" w:cs="Arial"/>
                <w:sz w:val="22"/>
                <w:szCs w:val="22"/>
              </w:rPr>
              <w:t xml:space="preserve"> o</w:t>
            </w:r>
            <w:r w:rsidR="00080B90">
              <w:rPr>
                <w:rFonts w:ascii="Arial" w:hAnsi="Arial" w:cs="Arial"/>
                <w:sz w:val="22"/>
                <w:szCs w:val="22"/>
              </w:rPr>
              <w:t>r</w:t>
            </w:r>
            <w:r w:rsidR="0020792E">
              <w:rPr>
                <w:rFonts w:ascii="Arial" w:hAnsi="Arial" w:cs="Arial"/>
                <w:sz w:val="22"/>
                <w:szCs w:val="22"/>
              </w:rPr>
              <w:t xml:space="preserve"> Feeder</w:t>
            </w:r>
          </w:p>
        </w:tc>
        <w:tc>
          <w:tcPr>
            <w:tcW w:w="3240" w:type="dxa"/>
            <w:shd w:val="clear" w:color="auto" w:fill="auto"/>
          </w:tcPr>
          <w:p w14:paraId="72CE24E3" w14:textId="5BB5F20B" w:rsidR="001F3020" w:rsidRPr="00374BCB" w:rsidRDefault="00641435" w:rsidP="00AC588E">
            <w:pPr>
              <w:rPr>
                <w:rFonts w:ascii="Arial" w:hAnsi="Arial" w:cs="Arial"/>
                <w:sz w:val="22"/>
                <w:szCs w:val="22"/>
              </w:rPr>
            </w:pPr>
            <w:r w:rsidRPr="00374BCB">
              <w:rPr>
                <w:rFonts w:ascii="Arial" w:hAnsi="Arial" w:cs="Arial"/>
                <w:sz w:val="22"/>
                <w:szCs w:val="22"/>
              </w:rPr>
              <w:t xml:space="preserve">Signals can be day ahead </w:t>
            </w:r>
            <w:r w:rsidR="00F101B9" w:rsidRPr="00374BCB">
              <w:rPr>
                <w:rFonts w:ascii="Arial" w:hAnsi="Arial" w:cs="Arial"/>
                <w:sz w:val="22"/>
                <w:szCs w:val="22"/>
              </w:rPr>
              <w:t>or an</w:t>
            </w:r>
            <w:r w:rsidRPr="00374BCB">
              <w:rPr>
                <w:rFonts w:ascii="Arial" w:hAnsi="Arial" w:cs="Arial"/>
                <w:sz w:val="22"/>
                <w:szCs w:val="22"/>
              </w:rPr>
              <w:t xml:space="preserve"> hour ahead notification</w:t>
            </w:r>
            <w:r w:rsidR="00F101B9" w:rsidRPr="00374BCB">
              <w:rPr>
                <w:rFonts w:ascii="Arial" w:hAnsi="Arial" w:cs="Arial"/>
                <w:sz w:val="22"/>
                <w:szCs w:val="22"/>
              </w:rPr>
              <w:t>s</w:t>
            </w:r>
            <w:r w:rsidR="00365E18">
              <w:rPr>
                <w:rFonts w:ascii="Arial" w:hAnsi="Arial" w:cs="Arial"/>
                <w:sz w:val="22"/>
                <w:szCs w:val="22"/>
              </w:rPr>
              <w:t xml:space="preserve"> base on category of pricing: Real Time Pricing, Variable Peak Pricing, or Critical Peak Pricing</w:t>
            </w:r>
          </w:p>
        </w:tc>
      </w:tr>
      <w:tr w:rsidR="001F3020" w14:paraId="1FDDCE85" w14:textId="77777777" w:rsidTr="00365E18">
        <w:trPr>
          <w:trHeight w:val="1691"/>
        </w:trPr>
        <w:tc>
          <w:tcPr>
            <w:tcW w:w="990" w:type="dxa"/>
          </w:tcPr>
          <w:p w14:paraId="23DFC549" w14:textId="1538DE21" w:rsidR="001F3020" w:rsidRPr="00374BCB" w:rsidRDefault="005528B6" w:rsidP="00AC588E">
            <w:pPr>
              <w:rPr>
                <w:rFonts w:ascii="Arial" w:hAnsi="Arial" w:cs="Arial"/>
                <w:sz w:val="22"/>
                <w:szCs w:val="22"/>
              </w:rPr>
            </w:pPr>
            <w:r w:rsidRPr="00374BCB">
              <w:rPr>
                <w:rFonts w:ascii="Arial" w:hAnsi="Arial" w:cs="Arial"/>
                <w:sz w:val="22"/>
                <w:szCs w:val="22"/>
              </w:rPr>
              <w:t>2</w:t>
            </w:r>
          </w:p>
        </w:tc>
        <w:tc>
          <w:tcPr>
            <w:tcW w:w="2250" w:type="dxa"/>
            <w:shd w:val="clear" w:color="auto" w:fill="auto"/>
          </w:tcPr>
          <w:p w14:paraId="5AA0592F" w14:textId="388EEBF4" w:rsidR="001F3020" w:rsidRPr="00374BCB" w:rsidRDefault="005528B6" w:rsidP="00AC588E">
            <w:pPr>
              <w:rPr>
                <w:rFonts w:ascii="Arial" w:hAnsi="Arial" w:cs="Arial"/>
                <w:sz w:val="22"/>
                <w:szCs w:val="22"/>
              </w:rPr>
            </w:pPr>
            <w:r w:rsidRPr="00374BCB">
              <w:rPr>
                <w:rFonts w:ascii="Arial" w:hAnsi="Arial" w:cs="Arial"/>
                <w:sz w:val="22"/>
                <w:szCs w:val="22"/>
              </w:rPr>
              <w:t>Aggregator</w:t>
            </w:r>
          </w:p>
        </w:tc>
        <w:tc>
          <w:tcPr>
            <w:tcW w:w="5220" w:type="dxa"/>
            <w:shd w:val="clear" w:color="auto" w:fill="auto"/>
          </w:tcPr>
          <w:p w14:paraId="548A4DD8" w14:textId="0433002E" w:rsidR="001F3020" w:rsidRPr="00374BCB" w:rsidRDefault="005528B6" w:rsidP="00AC588E">
            <w:pPr>
              <w:rPr>
                <w:rFonts w:ascii="Arial" w:hAnsi="Arial" w:cs="Arial"/>
                <w:sz w:val="22"/>
                <w:szCs w:val="22"/>
              </w:rPr>
            </w:pPr>
            <w:r w:rsidRPr="00374BCB">
              <w:rPr>
                <w:rFonts w:ascii="Arial" w:hAnsi="Arial" w:cs="Arial"/>
                <w:sz w:val="22"/>
                <w:szCs w:val="22"/>
              </w:rPr>
              <w:t>Receives dynamic pricing signal from the utility</w:t>
            </w:r>
            <w:r w:rsidR="00641435" w:rsidRPr="00374BCB">
              <w:rPr>
                <w:rFonts w:ascii="Arial" w:hAnsi="Arial" w:cs="Arial"/>
                <w:sz w:val="22"/>
                <w:szCs w:val="22"/>
              </w:rPr>
              <w:t>, identifies plugged in PEVs</w:t>
            </w:r>
            <w:r w:rsidR="00374BCB">
              <w:rPr>
                <w:rFonts w:ascii="Arial" w:hAnsi="Arial" w:cs="Arial"/>
                <w:sz w:val="22"/>
                <w:szCs w:val="22"/>
              </w:rPr>
              <w:t xml:space="preserve"> in residential location</w:t>
            </w:r>
            <w:r w:rsidRPr="00374BCB">
              <w:rPr>
                <w:rFonts w:ascii="Arial" w:hAnsi="Arial" w:cs="Arial"/>
                <w:sz w:val="22"/>
                <w:szCs w:val="22"/>
              </w:rPr>
              <w:t xml:space="preserve"> </w:t>
            </w:r>
            <w:r w:rsidR="004C4A1F">
              <w:rPr>
                <w:rFonts w:ascii="Arial" w:hAnsi="Arial" w:cs="Arial"/>
                <w:sz w:val="22"/>
                <w:szCs w:val="22"/>
              </w:rPr>
              <w:t xml:space="preserve">per designated region </w:t>
            </w:r>
            <w:r w:rsidRPr="00374BCB">
              <w:rPr>
                <w:rFonts w:ascii="Arial" w:hAnsi="Arial" w:cs="Arial"/>
                <w:sz w:val="22"/>
                <w:szCs w:val="22"/>
              </w:rPr>
              <w:t xml:space="preserve">and transmits </w:t>
            </w:r>
            <w:r w:rsidR="00641435" w:rsidRPr="00374BCB">
              <w:rPr>
                <w:rFonts w:ascii="Arial" w:hAnsi="Arial" w:cs="Arial"/>
                <w:sz w:val="22"/>
                <w:szCs w:val="22"/>
              </w:rPr>
              <w:t>signal to PEV either through the EVSE or directly to the PEV</w:t>
            </w:r>
            <w:r w:rsidR="00E81B76">
              <w:rPr>
                <w:rFonts w:ascii="Arial" w:hAnsi="Arial" w:cs="Arial"/>
                <w:sz w:val="22"/>
                <w:szCs w:val="22"/>
              </w:rPr>
              <w:t xml:space="preserve"> which can be through the OEM cloud server to the PEV via telematics.</w:t>
            </w:r>
          </w:p>
        </w:tc>
        <w:tc>
          <w:tcPr>
            <w:tcW w:w="3240" w:type="dxa"/>
            <w:shd w:val="clear" w:color="auto" w:fill="auto"/>
          </w:tcPr>
          <w:p w14:paraId="58D93547" w14:textId="7D946420" w:rsidR="001F3020" w:rsidRPr="00374BCB" w:rsidRDefault="00641435" w:rsidP="00AC588E">
            <w:pPr>
              <w:rPr>
                <w:rFonts w:ascii="Arial" w:hAnsi="Arial" w:cs="Arial"/>
                <w:sz w:val="22"/>
                <w:szCs w:val="22"/>
              </w:rPr>
            </w:pPr>
            <w:r w:rsidRPr="00374BCB">
              <w:rPr>
                <w:rFonts w:ascii="Arial" w:hAnsi="Arial" w:cs="Arial"/>
                <w:sz w:val="22"/>
                <w:szCs w:val="22"/>
              </w:rPr>
              <w:t xml:space="preserve">Requires notification of dynamic pricing event to the Customer to exercise right to opt out. </w:t>
            </w:r>
            <w:r w:rsidR="002A0AB9" w:rsidRPr="00374BCB">
              <w:rPr>
                <w:rFonts w:ascii="Arial" w:hAnsi="Arial" w:cs="Arial"/>
                <w:sz w:val="22"/>
                <w:szCs w:val="22"/>
              </w:rPr>
              <w:t>Customer preferences can be preset in the PEV such as price threshold</w:t>
            </w:r>
          </w:p>
        </w:tc>
      </w:tr>
      <w:tr w:rsidR="00D008F5" w14:paraId="1A560670" w14:textId="77777777" w:rsidTr="00365E18">
        <w:trPr>
          <w:trHeight w:val="1439"/>
        </w:trPr>
        <w:tc>
          <w:tcPr>
            <w:tcW w:w="990" w:type="dxa"/>
          </w:tcPr>
          <w:p w14:paraId="1CECA239" w14:textId="6E8C7B53" w:rsidR="00D008F5" w:rsidRPr="00374BCB" w:rsidRDefault="00641435" w:rsidP="00AC588E">
            <w:pPr>
              <w:rPr>
                <w:rFonts w:ascii="Arial" w:hAnsi="Arial" w:cs="Arial"/>
                <w:sz w:val="22"/>
                <w:szCs w:val="22"/>
              </w:rPr>
            </w:pPr>
            <w:r w:rsidRPr="00374BCB">
              <w:rPr>
                <w:rFonts w:ascii="Arial" w:hAnsi="Arial" w:cs="Arial"/>
                <w:sz w:val="22"/>
                <w:szCs w:val="22"/>
              </w:rPr>
              <w:t>3</w:t>
            </w:r>
          </w:p>
        </w:tc>
        <w:tc>
          <w:tcPr>
            <w:tcW w:w="2250" w:type="dxa"/>
            <w:shd w:val="clear" w:color="auto" w:fill="auto"/>
          </w:tcPr>
          <w:p w14:paraId="3D1815EF" w14:textId="54472C55" w:rsidR="00D008F5" w:rsidRPr="00374BCB" w:rsidRDefault="00641435" w:rsidP="00AC588E">
            <w:pPr>
              <w:rPr>
                <w:rFonts w:ascii="Arial" w:hAnsi="Arial" w:cs="Arial"/>
                <w:sz w:val="22"/>
                <w:szCs w:val="22"/>
              </w:rPr>
            </w:pPr>
            <w:r w:rsidRPr="00374BCB">
              <w:rPr>
                <w:rFonts w:ascii="Arial" w:hAnsi="Arial" w:cs="Arial"/>
                <w:sz w:val="22"/>
                <w:szCs w:val="22"/>
              </w:rPr>
              <w:t>PEV</w:t>
            </w:r>
          </w:p>
        </w:tc>
        <w:tc>
          <w:tcPr>
            <w:tcW w:w="5220" w:type="dxa"/>
            <w:shd w:val="clear" w:color="auto" w:fill="auto"/>
          </w:tcPr>
          <w:p w14:paraId="600E58A0" w14:textId="62CB236E" w:rsidR="00D008F5" w:rsidRPr="00374BCB" w:rsidRDefault="002A0AB9" w:rsidP="00AC588E">
            <w:pPr>
              <w:rPr>
                <w:rFonts w:ascii="Arial" w:hAnsi="Arial" w:cs="Arial"/>
                <w:sz w:val="22"/>
                <w:szCs w:val="22"/>
              </w:rPr>
            </w:pPr>
            <w:r w:rsidRPr="00374BCB">
              <w:rPr>
                <w:rFonts w:ascii="Arial" w:hAnsi="Arial" w:cs="Arial"/>
                <w:sz w:val="22"/>
                <w:szCs w:val="22"/>
              </w:rPr>
              <w:t>Receives the dynamic pricing signal from the aggregator and curtails/stops charging based on customer preferences</w:t>
            </w:r>
          </w:p>
        </w:tc>
        <w:tc>
          <w:tcPr>
            <w:tcW w:w="3240" w:type="dxa"/>
            <w:shd w:val="clear" w:color="auto" w:fill="auto"/>
          </w:tcPr>
          <w:p w14:paraId="216AD40F" w14:textId="6421DA83" w:rsidR="00D008F5" w:rsidRPr="00374BCB" w:rsidRDefault="002A0AB9" w:rsidP="00AC588E">
            <w:pPr>
              <w:rPr>
                <w:rFonts w:ascii="Arial" w:hAnsi="Arial" w:cs="Arial"/>
                <w:sz w:val="22"/>
                <w:szCs w:val="22"/>
              </w:rPr>
            </w:pPr>
            <w:r w:rsidRPr="00374BCB">
              <w:rPr>
                <w:rFonts w:ascii="Arial" w:hAnsi="Arial" w:cs="Arial"/>
                <w:sz w:val="22"/>
                <w:szCs w:val="22"/>
              </w:rPr>
              <w:t>PEV, based on customer settings (price threshold, time charge is needed) can automatically opt in or opt out of event</w:t>
            </w:r>
          </w:p>
        </w:tc>
      </w:tr>
    </w:tbl>
    <w:p w14:paraId="1B48831C" w14:textId="67CA02E7" w:rsidR="001F3020" w:rsidRDefault="001F3020"/>
    <w:p w14:paraId="4BDE41B7" w14:textId="64120D9B" w:rsidR="00D662AC" w:rsidRDefault="00D662AC"/>
    <w:p w14:paraId="23A0EFB1" w14:textId="2704672F" w:rsidR="00FF2E21" w:rsidRDefault="00FF2E21"/>
    <w:p w14:paraId="6EF730F7" w14:textId="6526F751" w:rsidR="00FF2E21" w:rsidRDefault="00FF2E21"/>
    <w:p w14:paraId="22EADC62" w14:textId="51607926" w:rsidR="00FF2E21" w:rsidRDefault="00FF2E21"/>
    <w:p w14:paraId="7D14794C" w14:textId="70F4952D" w:rsidR="00FF2E21" w:rsidRDefault="00FF2E21"/>
    <w:p w14:paraId="720BC95E" w14:textId="61CAD1D6" w:rsidR="00FF2E21" w:rsidRDefault="00FF2E21"/>
    <w:p w14:paraId="3CE0EE89" w14:textId="0FCFAE1C" w:rsidR="00FF2E21" w:rsidRDefault="00FF2E21"/>
    <w:p w14:paraId="2D572BE9" w14:textId="23C23AE2" w:rsidR="00FF2E21" w:rsidRDefault="00FF2E21"/>
    <w:p w14:paraId="6D59AAC5" w14:textId="76C27942" w:rsidR="00FF2E21" w:rsidRDefault="00FF2E21"/>
    <w:p w14:paraId="41C87F94" w14:textId="60CB1457" w:rsidR="00D662AC" w:rsidRPr="007644E1" w:rsidRDefault="001443F3" w:rsidP="00D662AC">
      <w:pPr>
        <w:pStyle w:val="Heading2"/>
        <w:rPr>
          <w:b/>
          <w:sz w:val="28"/>
        </w:rPr>
      </w:pPr>
      <w:r w:rsidRPr="007644E1">
        <w:rPr>
          <w:b/>
          <w:sz w:val="28"/>
        </w:rPr>
        <w:lastRenderedPageBreak/>
        <w:t>Alternate Scenario: Demand Response Event Signals</w:t>
      </w:r>
    </w:p>
    <w:p w14:paraId="43D32DAD" w14:textId="77777777" w:rsidR="00D662AC" w:rsidRDefault="00D662AC" w:rsidP="00D662AC"/>
    <w:tbl>
      <w:tblPr>
        <w:tblStyle w:val="TableGrid"/>
        <w:tblW w:w="11724" w:type="dxa"/>
        <w:tblInd w:w="-1175" w:type="dxa"/>
        <w:tblLook w:val="04A0" w:firstRow="1" w:lastRow="0" w:firstColumn="1" w:lastColumn="0" w:noHBand="0" w:noVBand="1"/>
      </w:tblPr>
      <w:tblGrid>
        <w:gridCol w:w="11724"/>
      </w:tblGrid>
      <w:tr w:rsidR="00080B90" w14:paraId="23E1D18A" w14:textId="77777777" w:rsidTr="00080B90">
        <w:trPr>
          <w:trHeight w:val="629"/>
        </w:trPr>
        <w:tc>
          <w:tcPr>
            <w:tcW w:w="11724" w:type="dxa"/>
            <w:shd w:val="clear" w:color="auto" w:fill="E7E6E6" w:themeFill="background2"/>
            <w:vAlign w:val="center"/>
          </w:tcPr>
          <w:p w14:paraId="178C28AE" w14:textId="77777777" w:rsidR="00080B90" w:rsidRPr="001F3020" w:rsidRDefault="00080B90" w:rsidP="00BF02DE">
            <w:pPr>
              <w:jc w:val="center"/>
              <w:rPr>
                <w:b/>
                <w:bCs/>
              </w:rPr>
            </w:pPr>
            <w:r w:rsidRPr="001F3020">
              <w:rPr>
                <w:b/>
                <w:bCs/>
              </w:rPr>
              <w:t>Triggering Event</w:t>
            </w:r>
          </w:p>
        </w:tc>
      </w:tr>
      <w:tr w:rsidR="00080B90" w14:paraId="0446EF2D" w14:textId="77777777" w:rsidTr="00080B90">
        <w:trPr>
          <w:trHeight w:val="989"/>
        </w:trPr>
        <w:tc>
          <w:tcPr>
            <w:tcW w:w="11724" w:type="dxa"/>
          </w:tcPr>
          <w:tbl>
            <w:tblPr>
              <w:tblStyle w:val="TableGrid"/>
              <w:tblW w:w="11498" w:type="dxa"/>
              <w:tblLook w:val="04A0" w:firstRow="1" w:lastRow="0" w:firstColumn="1" w:lastColumn="0" w:noHBand="0" w:noVBand="1"/>
            </w:tblPr>
            <w:tblGrid>
              <w:gridCol w:w="2925"/>
              <w:gridCol w:w="2925"/>
              <w:gridCol w:w="2925"/>
              <w:gridCol w:w="2723"/>
            </w:tblGrid>
            <w:tr w:rsidR="00080B90" w:rsidRPr="00374BCB" w14:paraId="63038ACC" w14:textId="77777777" w:rsidTr="00080B90">
              <w:tc>
                <w:tcPr>
                  <w:tcW w:w="2925" w:type="dxa"/>
                </w:tcPr>
                <w:p w14:paraId="0A39A4EB" w14:textId="593C2606" w:rsidR="00080B90" w:rsidRPr="00374BCB" w:rsidRDefault="00080B90" w:rsidP="001443F3">
                  <w:pPr>
                    <w:pStyle w:val="TableText"/>
                    <w:rPr>
                      <w:sz w:val="22"/>
                      <w:szCs w:val="22"/>
                    </w:rPr>
                  </w:pPr>
                  <w:r>
                    <w:rPr>
                      <w:sz w:val="22"/>
                      <w:szCs w:val="22"/>
                    </w:rPr>
                    <w:t>Utility or I</w:t>
                  </w:r>
                  <w:r w:rsidRPr="00374BCB">
                    <w:rPr>
                      <w:sz w:val="22"/>
                      <w:szCs w:val="22"/>
                    </w:rPr>
                    <w:t xml:space="preserve">SO forecasts or observes an imbalance of load vs generation and transmits </w:t>
                  </w:r>
                  <w:r>
                    <w:rPr>
                      <w:sz w:val="22"/>
                      <w:szCs w:val="22"/>
                    </w:rPr>
                    <w:t>demand response event notifications</w:t>
                  </w:r>
                </w:p>
              </w:tc>
              <w:tc>
                <w:tcPr>
                  <w:tcW w:w="2925" w:type="dxa"/>
                </w:tcPr>
                <w:p w14:paraId="60787DB9" w14:textId="77777777" w:rsidR="00080B90" w:rsidRPr="00374BCB" w:rsidRDefault="00080B90" w:rsidP="001443F3">
                  <w:pPr>
                    <w:pStyle w:val="TableText"/>
                    <w:rPr>
                      <w:sz w:val="22"/>
                      <w:szCs w:val="22"/>
                    </w:rPr>
                  </w:pPr>
                  <w:r w:rsidRPr="00374BCB">
                    <w:rPr>
                      <w:sz w:val="22"/>
                      <w:szCs w:val="22"/>
                    </w:rPr>
                    <w:t>Aggregator</w:t>
                  </w:r>
                </w:p>
              </w:tc>
              <w:tc>
                <w:tcPr>
                  <w:tcW w:w="2925" w:type="dxa"/>
                </w:tcPr>
                <w:p w14:paraId="097BFE73" w14:textId="67D86F5F" w:rsidR="00080B90" w:rsidRPr="00374BCB" w:rsidRDefault="00080B90" w:rsidP="001443F3">
                  <w:pPr>
                    <w:pStyle w:val="TableText"/>
                    <w:ind w:left="0"/>
                    <w:rPr>
                      <w:sz w:val="22"/>
                      <w:szCs w:val="22"/>
                    </w:rPr>
                  </w:pPr>
                  <w:r>
                    <w:rPr>
                      <w:sz w:val="22"/>
                      <w:szCs w:val="22"/>
                    </w:rPr>
                    <w:t xml:space="preserve">Utility or ISO to </w:t>
                  </w:r>
                  <w:r w:rsidRPr="00374BCB">
                    <w:rPr>
                      <w:sz w:val="22"/>
                      <w:szCs w:val="22"/>
                    </w:rPr>
                    <w:t xml:space="preserve">Aggregator/Customer Program contracts are in place. </w:t>
                  </w:r>
                </w:p>
              </w:tc>
              <w:tc>
                <w:tcPr>
                  <w:tcW w:w="2723" w:type="dxa"/>
                </w:tcPr>
                <w:p w14:paraId="74DD25E4" w14:textId="77777777" w:rsidR="00080B90" w:rsidRPr="00374BCB" w:rsidRDefault="00080B90" w:rsidP="001443F3">
                  <w:pPr>
                    <w:pStyle w:val="TableText"/>
                    <w:rPr>
                      <w:sz w:val="22"/>
                      <w:szCs w:val="22"/>
                    </w:rPr>
                  </w:pPr>
                  <w:r w:rsidRPr="00374BCB">
                    <w:rPr>
                      <w:sz w:val="22"/>
                      <w:szCs w:val="22"/>
                    </w:rPr>
                    <w:t>Generation has been restored and the load shedding event has concluded.</w:t>
                  </w:r>
                </w:p>
              </w:tc>
            </w:tr>
          </w:tbl>
          <w:p w14:paraId="52D1BFAF" w14:textId="77777777" w:rsidR="00080B90" w:rsidRDefault="00080B90" w:rsidP="00BF02DE"/>
        </w:tc>
      </w:tr>
    </w:tbl>
    <w:p w14:paraId="305250F7" w14:textId="77777777" w:rsidR="00D662AC" w:rsidRDefault="00D662AC" w:rsidP="00D662AC"/>
    <w:p w14:paraId="44385FD4" w14:textId="1EBC9744" w:rsidR="00D662AC" w:rsidRPr="00FF2E21" w:rsidRDefault="00D662AC" w:rsidP="00FF2E21">
      <w:pPr>
        <w:pStyle w:val="Heading2"/>
      </w:pPr>
      <w:r>
        <w:t>Steps for this scenario</w:t>
      </w:r>
      <w:r w:rsidRPr="00E31C23">
        <w:rPr>
          <w:i/>
          <w:iCs/>
          <w:sz w:val="20"/>
          <w:szCs w:val="20"/>
        </w:rPr>
        <w:t xml:space="preserve">. </w:t>
      </w:r>
    </w:p>
    <w:p w14:paraId="41C12C92" w14:textId="77777777" w:rsidR="00D662AC" w:rsidRPr="001F3020" w:rsidRDefault="00D662AC" w:rsidP="00D662AC"/>
    <w:tbl>
      <w:tblPr>
        <w:tblStyle w:val="TableGrid"/>
        <w:tblW w:w="11700" w:type="dxa"/>
        <w:tblInd w:w="-1175" w:type="dxa"/>
        <w:tblLook w:val="04A0" w:firstRow="1" w:lastRow="0" w:firstColumn="1" w:lastColumn="0" w:noHBand="0" w:noVBand="1"/>
      </w:tblPr>
      <w:tblGrid>
        <w:gridCol w:w="900"/>
        <w:gridCol w:w="2430"/>
        <w:gridCol w:w="4770"/>
        <w:gridCol w:w="3600"/>
      </w:tblGrid>
      <w:tr w:rsidR="00D662AC" w14:paraId="20FE8060" w14:textId="77777777" w:rsidTr="006B30DB">
        <w:trPr>
          <w:trHeight w:val="629"/>
        </w:trPr>
        <w:tc>
          <w:tcPr>
            <w:tcW w:w="900" w:type="dxa"/>
            <w:shd w:val="clear" w:color="auto" w:fill="E7E6E6" w:themeFill="background2"/>
            <w:vAlign w:val="center"/>
          </w:tcPr>
          <w:p w14:paraId="2AD7ADBD" w14:textId="77777777" w:rsidR="00D662AC" w:rsidRPr="001F3020" w:rsidRDefault="00D662AC" w:rsidP="00BF02DE">
            <w:pPr>
              <w:jc w:val="center"/>
              <w:rPr>
                <w:b/>
                <w:bCs/>
              </w:rPr>
            </w:pPr>
            <w:r>
              <w:rPr>
                <w:b/>
                <w:bCs/>
              </w:rPr>
              <w:t>Step #</w:t>
            </w:r>
          </w:p>
        </w:tc>
        <w:tc>
          <w:tcPr>
            <w:tcW w:w="2430" w:type="dxa"/>
            <w:shd w:val="clear" w:color="auto" w:fill="E7E6E6" w:themeFill="background2"/>
            <w:vAlign w:val="center"/>
          </w:tcPr>
          <w:p w14:paraId="2F30F730" w14:textId="77777777" w:rsidR="00D662AC" w:rsidRPr="001F3020" w:rsidRDefault="00D662AC" w:rsidP="00BF02DE">
            <w:pPr>
              <w:jc w:val="center"/>
              <w:rPr>
                <w:b/>
                <w:bCs/>
              </w:rPr>
            </w:pPr>
            <w:r>
              <w:rPr>
                <w:b/>
                <w:bCs/>
              </w:rPr>
              <w:t>Actor</w:t>
            </w:r>
          </w:p>
        </w:tc>
        <w:tc>
          <w:tcPr>
            <w:tcW w:w="4770" w:type="dxa"/>
            <w:shd w:val="clear" w:color="auto" w:fill="E7E6E6" w:themeFill="background2"/>
            <w:vAlign w:val="center"/>
          </w:tcPr>
          <w:p w14:paraId="0487C9E1" w14:textId="77777777" w:rsidR="00D662AC" w:rsidRPr="001F3020" w:rsidRDefault="00D662AC" w:rsidP="00BF02DE">
            <w:pPr>
              <w:jc w:val="center"/>
              <w:rPr>
                <w:b/>
                <w:bCs/>
              </w:rPr>
            </w:pPr>
            <w:r>
              <w:rPr>
                <w:b/>
                <w:bCs/>
              </w:rPr>
              <w:t>Description of the Step</w:t>
            </w:r>
          </w:p>
        </w:tc>
        <w:tc>
          <w:tcPr>
            <w:tcW w:w="3600" w:type="dxa"/>
            <w:shd w:val="clear" w:color="auto" w:fill="E7E6E6" w:themeFill="background2"/>
            <w:vAlign w:val="center"/>
          </w:tcPr>
          <w:p w14:paraId="68585D41" w14:textId="77777777" w:rsidR="00D662AC" w:rsidRPr="001F3020" w:rsidRDefault="00D662AC" w:rsidP="00BF02DE">
            <w:pPr>
              <w:jc w:val="center"/>
              <w:rPr>
                <w:b/>
                <w:bCs/>
              </w:rPr>
            </w:pPr>
            <w:r>
              <w:rPr>
                <w:b/>
                <w:bCs/>
              </w:rPr>
              <w:t>Additional Notes</w:t>
            </w:r>
          </w:p>
        </w:tc>
      </w:tr>
      <w:tr w:rsidR="006B30DB" w14:paraId="092B618F" w14:textId="77777777" w:rsidTr="006B30DB">
        <w:trPr>
          <w:trHeight w:val="1934"/>
        </w:trPr>
        <w:tc>
          <w:tcPr>
            <w:tcW w:w="900" w:type="dxa"/>
          </w:tcPr>
          <w:p w14:paraId="1F935B54" w14:textId="77777777" w:rsidR="006B30DB" w:rsidRPr="00374BCB" w:rsidRDefault="006B30DB" w:rsidP="00BF02DE">
            <w:pPr>
              <w:rPr>
                <w:rFonts w:ascii="Arial" w:hAnsi="Arial" w:cs="Arial"/>
                <w:sz w:val="22"/>
                <w:szCs w:val="22"/>
              </w:rPr>
            </w:pPr>
            <w:r w:rsidRPr="00374BCB">
              <w:rPr>
                <w:rFonts w:ascii="Arial" w:hAnsi="Arial" w:cs="Arial"/>
                <w:sz w:val="22"/>
                <w:szCs w:val="22"/>
              </w:rPr>
              <w:t>1</w:t>
            </w:r>
          </w:p>
        </w:tc>
        <w:tc>
          <w:tcPr>
            <w:tcW w:w="2430" w:type="dxa"/>
          </w:tcPr>
          <w:p w14:paraId="73235C5C" w14:textId="599CB2AD" w:rsidR="006B30DB" w:rsidRPr="00374BCB" w:rsidRDefault="006B30DB" w:rsidP="00BF02DE">
            <w:pPr>
              <w:rPr>
                <w:rFonts w:ascii="Arial" w:hAnsi="Arial" w:cs="Arial"/>
                <w:sz w:val="22"/>
                <w:szCs w:val="22"/>
              </w:rPr>
            </w:pPr>
            <w:r w:rsidRPr="00374BCB">
              <w:rPr>
                <w:rFonts w:ascii="Arial" w:hAnsi="Arial" w:cs="Arial"/>
                <w:sz w:val="22"/>
                <w:szCs w:val="22"/>
              </w:rPr>
              <w:t>Utility</w:t>
            </w:r>
            <w:r>
              <w:rPr>
                <w:rFonts w:ascii="Arial" w:hAnsi="Arial" w:cs="Arial"/>
                <w:sz w:val="22"/>
                <w:szCs w:val="22"/>
              </w:rPr>
              <w:t xml:space="preserve"> / ISO</w:t>
            </w:r>
          </w:p>
        </w:tc>
        <w:tc>
          <w:tcPr>
            <w:tcW w:w="4770" w:type="dxa"/>
          </w:tcPr>
          <w:p w14:paraId="2E9B3421" w14:textId="65FF8D6E" w:rsidR="006B30DB" w:rsidRPr="00374BCB" w:rsidRDefault="006B30DB" w:rsidP="00BF02DE">
            <w:pPr>
              <w:rPr>
                <w:rFonts w:ascii="Arial" w:hAnsi="Arial" w:cs="Arial"/>
                <w:sz w:val="22"/>
                <w:szCs w:val="22"/>
              </w:rPr>
            </w:pPr>
            <w:r w:rsidRPr="00374BCB">
              <w:rPr>
                <w:rFonts w:ascii="Arial" w:hAnsi="Arial" w:cs="Arial"/>
                <w:sz w:val="22"/>
                <w:szCs w:val="22"/>
              </w:rPr>
              <w:t>Observes or projects an imbalance of load vs generation</w:t>
            </w:r>
            <w:r>
              <w:rPr>
                <w:rFonts w:ascii="Arial" w:hAnsi="Arial" w:cs="Arial"/>
                <w:sz w:val="22"/>
                <w:szCs w:val="22"/>
              </w:rPr>
              <w:t>, determines</w:t>
            </w:r>
            <w:r w:rsidRPr="00374BCB">
              <w:rPr>
                <w:rFonts w:ascii="Arial" w:hAnsi="Arial" w:cs="Arial"/>
                <w:sz w:val="22"/>
                <w:szCs w:val="22"/>
              </w:rPr>
              <w:t xml:space="preserve"> and transmits </w:t>
            </w:r>
            <w:r>
              <w:rPr>
                <w:rFonts w:ascii="Arial" w:hAnsi="Arial" w:cs="Arial"/>
                <w:sz w:val="22"/>
                <w:szCs w:val="22"/>
              </w:rPr>
              <w:t>demand response</w:t>
            </w:r>
            <w:r w:rsidRPr="00374BCB">
              <w:rPr>
                <w:rFonts w:ascii="Arial" w:hAnsi="Arial" w:cs="Arial"/>
                <w:sz w:val="22"/>
                <w:szCs w:val="22"/>
              </w:rPr>
              <w:t xml:space="preserve"> signal utilizing utility industry applied communications protocol (OpenADR or IEEE2030.5) to the designated aggregators</w:t>
            </w:r>
            <w:r>
              <w:rPr>
                <w:rFonts w:ascii="Arial" w:hAnsi="Arial" w:cs="Arial"/>
                <w:sz w:val="22"/>
                <w:szCs w:val="22"/>
              </w:rPr>
              <w:t>. Signals can be region specific such as by SubLAP</w:t>
            </w:r>
            <w:r w:rsidR="0020792E">
              <w:rPr>
                <w:rFonts w:ascii="Arial" w:hAnsi="Arial" w:cs="Arial"/>
                <w:sz w:val="22"/>
                <w:szCs w:val="22"/>
              </w:rPr>
              <w:t xml:space="preserve"> or Feeder</w:t>
            </w:r>
          </w:p>
        </w:tc>
        <w:tc>
          <w:tcPr>
            <w:tcW w:w="3600" w:type="dxa"/>
          </w:tcPr>
          <w:p w14:paraId="40DC8390" w14:textId="77777777" w:rsidR="00AF522A" w:rsidRDefault="006B30DB" w:rsidP="00BF02DE">
            <w:pPr>
              <w:rPr>
                <w:rFonts w:ascii="Arial" w:hAnsi="Arial" w:cs="Arial"/>
                <w:sz w:val="22"/>
                <w:szCs w:val="22"/>
              </w:rPr>
            </w:pPr>
            <w:r w:rsidRPr="00374BCB">
              <w:rPr>
                <w:rFonts w:ascii="Arial" w:hAnsi="Arial" w:cs="Arial"/>
                <w:sz w:val="22"/>
                <w:szCs w:val="22"/>
              </w:rPr>
              <w:t>Signals can be day ahead or an hour ahead notifications</w:t>
            </w:r>
            <w:r w:rsidR="00AF522A">
              <w:rPr>
                <w:rFonts w:ascii="Arial" w:hAnsi="Arial" w:cs="Arial"/>
                <w:sz w:val="22"/>
                <w:szCs w:val="22"/>
              </w:rPr>
              <w:t xml:space="preserve">. </w:t>
            </w:r>
          </w:p>
          <w:p w14:paraId="576BB2CB" w14:textId="77777777" w:rsidR="00AF522A" w:rsidRDefault="00AF522A" w:rsidP="00BF02DE">
            <w:pPr>
              <w:rPr>
                <w:rFonts w:ascii="Arial" w:hAnsi="Arial" w:cs="Arial"/>
                <w:sz w:val="22"/>
                <w:szCs w:val="22"/>
              </w:rPr>
            </w:pPr>
          </w:p>
          <w:p w14:paraId="132B8F76" w14:textId="04D572C2" w:rsidR="006B30DB" w:rsidRPr="00374BCB" w:rsidRDefault="00AF522A" w:rsidP="00BF02DE">
            <w:pPr>
              <w:rPr>
                <w:rFonts w:ascii="Arial" w:hAnsi="Arial" w:cs="Arial"/>
                <w:sz w:val="22"/>
                <w:szCs w:val="22"/>
              </w:rPr>
            </w:pPr>
            <w:r>
              <w:rPr>
                <w:rFonts w:ascii="Arial" w:hAnsi="Arial" w:cs="Arial"/>
                <w:sz w:val="22"/>
                <w:szCs w:val="22"/>
              </w:rPr>
              <w:t>ISO or Schedule Coordinator transmission protocols may be other than Utility industry adopted protocol standards.</w:t>
            </w:r>
            <w:r w:rsidR="006B30DB">
              <w:rPr>
                <w:rFonts w:ascii="Arial" w:hAnsi="Arial" w:cs="Arial"/>
                <w:sz w:val="22"/>
                <w:szCs w:val="22"/>
              </w:rPr>
              <w:t xml:space="preserve"> </w:t>
            </w:r>
          </w:p>
        </w:tc>
      </w:tr>
      <w:tr w:rsidR="006B30DB" w14:paraId="20133160" w14:textId="77777777" w:rsidTr="00E81B76">
        <w:trPr>
          <w:trHeight w:val="1916"/>
        </w:trPr>
        <w:tc>
          <w:tcPr>
            <w:tcW w:w="900" w:type="dxa"/>
          </w:tcPr>
          <w:p w14:paraId="604A6D8F" w14:textId="77777777" w:rsidR="006B30DB" w:rsidRPr="00374BCB" w:rsidRDefault="006B30DB" w:rsidP="00BF02DE">
            <w:pPr>
              <w:rPr>
                <w:rFonts w:ascii="Arial" w:hAnsi="Arial" w:cs="Arial"/>
                <w:sz w:val="22"/>
                <w:szCs w:val="22"/>
              </w:rPr>
            </w:pPr>
            <w:bookmarkStart w:id="2" w:name="_Hlk484145908"/>
            <w:r w:rsidRPr="00374BCB">
              <w:rPr>
                <w:rFonts w:ascii="Arial" w:hAnsi="Arial" w:cs="Arial"/>
                <w:sz w:val="22"/>
                <w:szCs w:val="22"/>
              </w:rPr>
              <w:t>2</w:t>
            </w:r>
          </w:p>
        </w:tc>
        <w:tc>
          <w:tcPr>
            <w:tcW w:w="2430" w:type="dxa"/>
          </w:tcPr>
          <w:p w14:paraId="2259F326" w14:textId="77777777" w:rsidR="006B30DB" w:rsidRPr="00374BCB" w:rsidRDefault="006B30DB" w:rsidP="00BF02DE">
            <w:pPr>
              <w:rPr>
                <w:rFonts w:ascii="Arial" w:hAnsi="Arial" w:cs="Arial"/>
                <w:sz w:val="22"/>
                <w:szCs w:val="22"/>
              </w:rPr>
            </w:pPr>
            <w:r w:rsidRPr="00374BCB">
              <w:rPr>
                <w:rFonts w:ascii="Arial" w:hAnsi="Arial" w:cs="Arial"/>
                <w:sz w:val="22"/>
                <w:szCs w:val="22"/>
              </w:rPr>
              <w:t>Aggregator</w:t>
            </w:r>
          </w:p>
        </w:tc>
        <w:tc>
          <w:tcPr>
            <w:tcW w:w="4770" w:type="dxa"/>
          </w:tcPr>
          <w:p w14:paraId="6FD1B75E" w14:textId="6B034F00" w:rsidR="006B30DB" w:rsidRPr="00374BCB" w:rsidRDefault="006B30DB" w:rsidP="00BF02DE">
            <w:pPr>
              <w:rPr>
                <w:rFonts w:ascii="Arial" w:hAnsi="Arial" w:cs="Arial"/>
                <w:sz w:val="22"/>
                <w:szCs w:val="22"/>
              </w:rPr>
            </w:pPr>
            <w:r w:rsidRPr="00374BCB">
              <w:rPr>
                <w:rFonts w:ascii="Arial" w:hAnsi="Arial" w:cs="Arial"/>
                <w:sz w:val="22"/>
                <w:szCs w:val="22"/>
              </w:rPr>
              <w:t xml:space="preserve">Receives </w:t>
            </w:r>
            <w:r w:rsidR="00AF522A">
              <w:rPr>
                <w:rFonts w:ascii="Arial" w:hAnsi="Arial" w:cs="Arial"/>
                <w:sz w:val="22"/>
                <w:szCs w:val="22"/>
              </w:rPr>
              <w:t>demand response</w:t>
            </w:r>
            <w:r w:rsidRPr="00374BCB">
              <w:rPr>
                <w:rFonts w:ascii="Arial" w:hAnsi="Arial" w:cs="Arial"/>
                <w:sz w:val="22"/>
                <w:szCs w:val="22"/>
              </w:rPr>
              <w:t xml:space="preserve"> signal from the utility</w:t>
            </w:r>
            <w:r w:rsidR="00AF522A">
              <w:rPr>
                <w:rFonts w:ascii="Arial" w:hAnsi="Arial" w:cs="Arial"/>
                <w:sz w:val="22"/>
                <w:szCs w:val="22"/>
              </w:rPr>
              <w:t>, ISO or Schedule Coordinator</w:t>
            </w:r>
            <w:r w:rsidRPr="00374BCB">
              <w:rPr>
                <w:rFonts w:ascii="Arial" w:hAnsi="Arial" w:cs="Arial"/>
                <w:sz w:val="22"/>
                <w:szCs w:val="22"/>
              </w:rPr>
              <w:t>, identifies plugged in PEVs</w:t>
            </w:r>
            <w:r>
              <w:rPr>
                <w:rFonts w:ascii="Arial" w:hAnsi="Arial" w:cs="Arial"/>
                <w:sz w:val="22"/>
                <w:szCs w:val="22"/>
              </w:rPr>
              <w:t xml:space="preserve"> in residential location</w:t>
            </w:r>
            <w:r w:rsidRPr="00374BCB">
              <w:rPr>
                <w:rFonts w:ascii="Arial" w:hAnsi="Arial" w:cs="Arial"/>
                <w:sz w:val="22"/>
                <w:szCs w:val="22"/>
              </w:rPr>
              <w:t xml:space="preserve"> </w:t>
            </w:r>
            <w:r>
              <w:rPr>
                <w:rFonts w:ascii="Arial" w:hAnsi="Arial" w:cs="Arial"/>
                <w:sz w:val="22"/>
                <w:szCs w:val="22"/>
              </w:rPr>
              <w:t xml:space="preserve">per designated region </w:t>
            </w:r>
            <w:r w:rsidRPr="00374BCB">
              <w:rPr>
                <w:rFonts w:ascii="Arial" w:hAnsi="Arial" w:cs="Arial"/>
                <w:sz w:val="22"/>
                <w:szCs w:val="22"/>
              </w:rPr>
              <w:t>and transmits signal to PEV either through the EVSE or directly to the PEV</w:t>
            </w:r>
            <w:r w:rsidR="00E81B76">
              <w:rPr>
                <w:rFonts w:ascii="Arial" w:hAnsi="Arial" w:cs="Arial"/>
                <w:sz w:val="22"/>
                <w:szCs w:val="22"/>
              </w:rPr>
              <w:t xml:space="preserve"> </w:t>
            </w:r>
            <w:r w:rsidR="00E81B76">
              <w:rPr>
                <w:rFonts w:ascii="Arial" w:hAnsi="Arial" w:cs="Arial"/>
                <w:sz w:val="22"/>
                <w:szCs w:val="22"/>
              </w:rPr>
              <w:t>which can be through the OEM cloud server to the PEV via telematics.</w:t>
            </w:r>
          </w:p>
        </w:tc>
        <w:tc>
          <w:tcPr>
            <w:tcW w:w="3600" w:type="dxa"/>
          </w:tcPr>
          <w:p w14:paraId="5B7484B0" w14:textId="52530B8D" w:rsidR="006B30DB" w:rsidRPr="00374BCB" w:rsidRDefault="006B30DB" w:rsidP="00BF02DE">
            <w:pPr>
              <w:rPr>
                <w:rFonts w:ascii="Arial" w:hAnsi="Arial" w:cs="Arial"/>
                <w:sz w:val="22"/>
                <w:szCs w:val="22"/>
              </w:rPr>
            </w:pPr>
            <w:r w:rsidRPr="00374BCB">
              <w:rPr>
                <w:rFonts w:ascii="Arial" w:hAnsi="Arial" w:cs="Arial"/>
                <w:sz w:val="22"/>
                <w:szCs w:val="22"/>
              </w:rPr>
              <w:t xml:space="preserve">Requires notification of </w:t>
            </w:r>
            <w:r w:rsidR="00AF522A">
              <w:rPr>
                <w:rFonts w:ascii="Arial" w:hAnsi="Arial" w:cs="Arial"/>
                <w:sz w:val="22"/>
                <w:szCs w:val="22"/>
              </w:rPr>
              <w:t>demand response</w:t>
            </w:r>
            <w:r w:rsidRPr="00374BCB">
              <w:rPr>
                <w:rFonts w:ascii="Arial" w:hAnsi="Arial" w:cs="Arial"/>
                <w:sz w:val="22"/>
                <w:szCs w:val="22"/>
              </w:rPr>
              <w:t xml:space="preserve"> event to the Customer to exercise right to opt out. Customer preferences can be preset in the PE</w:t>
            </w:r>
            <w:r w:rsidR="00AF522A">
              <w:rPr>
                <w:rFonts w:ascii="Arial" w:hAnsi="Arial" w:cs="Arial"/>
                <w:sz w:val="22"/>
                <w:szCs w:val="22"/>
              </w:rPr>
              <w:t>V</w:t>
            </w:r>
          </w:p>
        </w:tc>
      </w:tr>
      <w:tr w:rsidR="006B30DB" w14:paraId="5C2A05BE" w14:textId="77777777" w:rsidTr="006B30DB">
        <w:trPr>
          <w:trHeight w:val="1439"/>
        </w:trPr>
        <w:tc>
          <w:tcPr>
            <w:tcW w:w="900" w:type="dxa"/>
          </w:tcPr>
          <w:p w14:paraId="1B59F6C2" w14:textId="77777777" w:rsidR="006B30DB" w:rsidRPr="00374BCB" w:rsidRDefault="006B30DB" w:rsidP="00BF02DE">
            <w:pPr>
              <w:rPr>
                <w:rFonts w:ascii="Arial" w:hAnsi="Arial" w:cs="Arial"/>
                <w:sz w:val="22"/>
                <w:szCs w:val="22"/>
              </w:rPr>
            </w:pPr>
            <w:bookmarkStart w:id="3" w:name="_Hlk484146553"/>
            <w:bookmarkEnd w:id="2"/>
            <w:r w:rsidRPr="00374BCB">
              <w:rPr>
                <w:rFonts w:ascii="Arial" w:hAnsi="Arial" w:cs="Arial"/>
                <w:sz w:val="22"/>
                <w:szCs w:val="22"/>
              </w:rPr>
              <w:t>3</w:t>
            </w:r>
          </w:p>
        </w:tc>
        <w:tc>
          <w:tcPr>
            <w:tcW w:w="2430" w:type="dxa"/>
          </w:tcPr>
          <w:p w14:paraId="655C43DF" w14:textId="77777777" w:rsidR="006B30DB" w:rsidRPr="00374BCB" w:rsidRDefault="006B30DB" w:rsidP="00BF02DE">
            <w:pPr>
              <w:rPr>
                <w:rFonts w:ascii="Arial" w:hAnsi="Arial" w:cs="Arial"/>
                <w:sz w:val="22"/>
                <w:szCs w:val="22"/>
              </w:rPr>
            </w:pPr>
            <w:r w:rsidRPr="00374BCB">
              <w:rPr>
                <w:rFonts w:ascii="Arial" w:hAnsi="Arial" w:cs="Arial"/>
                <w:sz w:val="22"/>
                <w:szCs w:val="22"/>
              </w:rPr>
              <w:t>PEV</w:t>
            </w:r>
          </w:p>
        </w:tc>
        <w:tc>
          <w:tcPr>
            <w:tcW w:w="4770" w:type="dxa"/>
          </w:tcPr>
          <w:p w14:paraId="1FA4A239" w14:textId="74A77539" w:rsidR="006B30DB" w:rsidRPr="00374BCB" w:rsidRDefault="006B30DB" w:rsidP="00BF02DE">
            <w:pPr>
              <w:rPr>
                <w:rFonts w:ascii="Arial" w:hAnsi="Arial" w:cs="Arial"/>
                <w:sz w:val="22"/>
                <w:szCs w:val="22"/>
              </w:rPr>
            </w:pPr>
            <w:r w:rsidRPr="00374BCB">
              <w:rPr>
                <w:rFonts w:ascii="Arial" w:hAnsi="Arial" w:cs="Arial"/>
                <w:sz w:val="22"/>
                <w:szCs w:val="22"/>
              </w:rPr>
              <w:t xml:space="preserve">Receives the </w:t>
            </w:r>
            <w:r w:rsidR="00AF522A">
              <w:rPr>
                <w:rFonts w:ascii="Arial" w:hAnsi="Arial" w:cs="Arial"/>
                <w:sz w:val="22"/>
                <w:szCs w:val="22"/>
              </w:rPr>
              <w:t>demand response</w:t>
            </w:r>
            <w:r w:rsidRPr="00374BCB">
              <w:rPr>
                <w:rFonts w:ascii="Arial" w:hAnsi="Arial" w:cs="Arial"/>
                <w:sz w:val="22"/>
                <w:szCs w:val="22"/>
              </w:rPr>
              <w:t xml:space="preserve"> signal from the aggregator and curtails/stops charging based on customer preferences</w:t>
            </w:r>
          </w:p>
        </w:tc>
        <w:tc>
          <w:tcPr>
            <w:tcW w:w="3600" w:type="dxa"/>
          </w:tcPr>
          <w:p w14:paraId="09F020E1" w14:textId="1F4D550E" w:rsidR="006B30DB" w:rsidRPr="00374BCB" w:rsidRDefault="006B30DB" w:rsidP="00BF02DE">
            <w:pPr>
              <w:rPr>
                <w:rFonts w:ascii="Arial" w:hAnsi="Arial" w:cs="Arial"/>
                <w:sz w:val="22"/>
                <w:szCs w:val="22"/>
              </w:rPr>
            </w:pPr>
            <w:r w:rsidRPr="00374BCB">
              <w:rPr>
                <w:rFonts w:ascii="Arial" w:hAnsi="Arial" w:cs="Arial"/>
                <w:sz w:val="22"/>
                <w:szCs w:val="22"/>
              </w:rPr>
              <w:t>PEV, based on customer settings (time charge is needed) can automatically opt in or opt out of event</w:t>
            </w:r>
          </w:p>
        </w:tc>
      </w:tr>
      <w:bookmarkEnd w:id="3"/>
    </w:tbl>
    <w:p w14:paraId="745C7A00" w14:textId="77777777" w:rsidR="00AC4931" w:rsidRDefault="00AC4931" w:rsidP="00646F53">
      <w:pPr>
        <w:pStyle w:val="Heading2"/>
        <w:jc w:val="both"/>
        <w:rPr>
          <w:rFonts w:ascii="Arial" w:hAnsi="Arial" w:cs="Arial"/>
          <w:color w:val="auto"/>
          <w:sz w:val="22"/>
          <w:szCs w:val="22"/>
        </w:rPr>
      </w:pPr>
    </w:p>
    <w:p w14:paraId="69F0FA13" w14:textId="7ECF5E2A" w:rsidR="000E0837" w:rsidRPr="00E6520F" w:rsidRDefault="00E6520F" w:rsidP="00646F53">
      <w:pPr>
        <w:pStyle w:val="Heading2"/>
        <w:jc w:val="both"/>
        <w:rPr>
          <w:rFonts w:ascii="Arial" w:hAnsi="Arial" w:cs="Arial"/>
          <w:color w:val="auto"/>
          <w:sz w:val="22"/>
          <w:szCs w:val="22"/>
        </w:rPr>
      </w:pPr>
      <w:r w:rsidRPr="00E6520F">
        <w:rPr>
          <w:rFonts w:ascii="Arial" w:hAnsi="Arial" w:cs="Arial"/>
          <w:color w:val="auto"/>
          <w:sz w:val="22"/>
          <w:szCs w:val="22"/>
        </w:rPr>
        <w:t xml:space="preserve">Utilities and ISO </w:t>
      </w:r>
      <w:r>
        <w:rPr>
          <w:rFonts w:ascii="Arial" w:hAnsi="Arial" w:cs="Arial"/>
          <w:color w:val="auto"/>
          <w:sz w:val="22"/>
          <w:szCs w:val="22"/>
        </w:rPr>
        <w:t>will have DR capacity bidding programs that provide revenues for aggregators based on fixed or wholesale energy market pricing for capacity and</w:t>
      </w:r>
      <w:r w:rsidR="007644E1">
        <w:rPr>
          <w:rFonts w:ascii="Arial" w:hAnsi="Arial" w:cs="Arial"/>
          <w:color w:val="auto"/>
          <w:sz w:val="22"/>
          <w:szCs w:val="22"/>
        </w:rPr>
        <w:t>/or</w:t>
      </w:r>
      <w:r>
        <w:rPr>
          <w:rFonts w:ascii="Arial" w:hAnsi="Arial" w:cs="Arial"/>
          <w:color w:val="auto"/>
          <w:sz w:val="22"/>
          <w:szCs w:val="22"/>
        </w:rPr>
        <w:t xml:space="preserve"> energy payments. This requires the aggregator to provide PEV DR capacity bids based on projected availability and access to plugged in PEVs </w:t>
      </w:r>
      <w:r w:rsidR="003712D7">
        <w:rPr>
          <w:rFonts w:ascii="Arial" w:hAnsi="Arial" w:cs="Arial"/>
          <w:color w:val="auto"/>
          <w:sz w:val="22"/>
          <w:szCs w:val="22"/>
        </w:rPr>
        <w:t xml:space="preserve">per day and time (hourly increments). Bids can be week ahead or day ahead depending on the program terms and conditions for participation. Aggregator will have to implement and comply with the program measurement and verification requirements to facilitate payment settlement for the DR event transactions. </w:t>
      </w:r>
    </w:p>
    <w:p w14:paraId="37B12AA9" w14:textId="425AF4D1" w:rsidR="000E0837" w:rsidRDefault="000E0837" w:rsidP="00D662AC">
      <w:pPr>
        <w:pStyle w:val="Heading2"/>
      </w:pPr>
    </w:p>
    <w:p w14:paraId="366EC833" w14:textId="1F9E2F29" w:rsidR="007644E1" w:rsidRPr="005F338F" w:rsidRDefault="007644E1" w:rsidP="005F338F">
      <w:pPr>
        <w:jc w:val="both"/>
        <w:rPr>
          <w:rFonts w:ascii="Arial" w:hAnsi="Arial" w:cs="Arial"/>
          <w:sz w:val="22"/>
          <w:szCs w:val="22"/>
        </w:rPr>
      </w:pPr>
      <w:r w:rsidRPr="005F338F">
        <w:rPr>
          <w:rFonts w:ascii="Arial" w:hAnsi="Arial" w:cs="Arial"/>
          <w:sz w:val="22"/>
          <w:szCs w:val="22"/>
        </w:rPr>
        <w:t>Alternatively, the Utilities can offer rate discounts or credits direct to the customer for participating in DR events</w:t>
      </w:r>
      <w:r w:rsidR="00460982" w:rsidRPr="005F338F">
        <w:rPr>
          <w:rFonts w:ascii="Arial" w:hAnsi="Arial" w:cs="Arial"/>
          <w:sz w:val="22"/>
          <w:szCs w:val="22"/>
        </w:rPr>
        <w:t xml:space="preserve"> that are not based on capacity bidding programs. </w:t>
      </w:r>
    </w:p>
    <w:p w14:paraId="5FABC20A" w14:textId="40FF0F02" w:rsidR="00D662AC" w:rsidRPr="008D312D" w:rsidRDefault="00646F53" w:rsidP="00D662AC">
      <w:pPr>
        <w:pStyle w:val="Heading2"/>
        <w:rPr>
          <w:b/>
          <w:sz w:val="28"/>
        </w:rPr>
      </w:pPr>
      <w:r w:rsidRPr="008D312D">
        <w:rPr>
          <w:b/>
          <w:sz w:val="28"/>
        </w:rPr>
        <w:lastRenderedPageBreak/>
        <w:t>Alternate</w:t>
      </w:r>
      <w:r w:rsidR="00D662AC" w:rsidRPr="008D312D">
        <w:rPr>
          <w:b/>
          <w:sz w:val="28"/>
        </w:rPr>
        <w:t xml:space="preserve"> Scenario: </w:t>
      </w:r>
      <w:r w:rsidRPr="008D312D">
        <w:rPr>
          <w:b/>
          <w:sz w:val="28"/>
        </w:rPr>
        <w:t xml:space="preserve">Vehicle to Grid (V2G) Power Flow </w:t>
      </w:r>
      <w:r w:rsidR="00004DDF" w:rsidRPr="008D312D">
        <w:rPr>
          <w:b/>
          <w:sz w:val="28"/>
        </w:rPr>
        <w:t>D</w:t>
      </w:r>
      <w:r w:rsidR="008B087A">
        <w:rPr>
          <w:b/>
          <w:sz w:val="28"/>
        </w:rPr>
        <w:t xml:space="preserve">ischarge </w:t>
      </w:r>
      <w:r w:rsidR="00004DDF" w:rsidRPr="008D312D">
        <w:rPr>
          <w:b/>
          <w:sz w:val="28"/>
        </w:rPr>
        <w:t>Signal</w:t>
      </w:r>
    </w:p>
    <w:p w14:paraId="5B3FE501" w14:textId="77777777" w:rsidR="00D662AC" w:rsidRDefault="00D662AC" w:rsidP="00D662AC"/>
    <w:tbl>
      <w:tblPr>
        <w:tblStyle w:val="TableGrid"/>
        <w:tblW w:w="11700" w:type="dxa"/>
        <w:tblInd w:w="-1175" w:type="dxa"/>
        <w:tblLook w:val="04A0" w:firstRow="1" w:lastRow="0" w:firstColumn="1" w:lastColumn="0" w:noHBand="0" w:noVBand="1"/>
      </w:tblPr>
      <w:tblGrid>
        <w:gridCol w:w="2925"/>
        <w:gridCol w:w="2925"/>
        <w:gridCol w:w="2925"/>
        <w:gridCol w:w="2925"/>
      </w:tblGrid>
      <w:tr w:rsidR="00D662AC" w14:paraId="5976C034" w14:textId="77777777" w:rsidTr="00161413">
        <w:trPr>
          <w:trHeight w:val="629"/>
        </w:trPr>
        <w:tc>
          <w:tcPr>
            <w:tcW w:w="2925" w:type="dxa"/>
            <w:shd w:val="clear" w:color="auto" w:fill="E7E6E6" w:themeFill="background2"/>
            <w:vAlign w:val="center"/>
          </w:tcPr>
          <w:p w14:paraId="3D413C5E" w14:textId="77777777" w:rsidR="00D662AC" w:rsidRPr="001F3020" w:rsidRDefault="00D662AC" w:rsidP="00BF02DE">
            <w:pPr>
              <w:jc w:val="center"/>
              <w:rPr>
                <w:b/>
                <w:bCs/>
              </w:rPr>
            </w:pPr>
            <w:r w:rsidRPr="001F3020">
              <w:rPr>
                <w:b/>
                <w:bCs/>
              </w:rPr>
              <w:t>Triggering Event</w:t>
            </w:r>
          </w:p>
        </w:tc>
        <w:tc>
          <w:tcPr>
            <w:tcW w:w="2925" w:type="dxa"/>
            <w:shd w:val="clear" w:color="auto" w:fill="E7E6E6" w:themeFill="background2"/>
            <w:vAlign w:val="center"/>
          </w:tcPr>
          <w:p w14:paraId="0AB5B64C" w14:textId="77777777" w:rsidR="00D662AC" w:rsidRPr="001F3020" w:rsidRDefault="00D662AC" w:rsidP="00BF02DE">
            <w:pPr>
              <w:jc w:val="center"/>
              <w:rPr>
                <w:b/>
                <w:bCs/>
              </w:rPr>
            </w:pPr>
            <w:r w:rsidRPr="001F3020">
              <w:rPr>
                <w:b/>
                <w:bCs/>
              </w:rPr>
              <w:t>Primary Actor</w:t>
            </w:r>
          </w:p>
        </w:tc>
        <w:tc>
          <w:tcPr>
            <w:tcW w:w="2925" w:type="dxa"/>
            <w:shd w:val="clear" w:color="auto" w:fill="E7E6E6" w:themeFill="background2"/>
            <w:vAlign w:val="center"/>
          </w:tcPr>
          <w:p w14:paraId="781F3468" w14:textId="77777777" w:rsidR="00D662AC" w:rsidRPr="001F3020" w:rsidRDefault="00D662AC" w:rsidP="00BF02DE">
            <w:pPr>
              <w:jc w:val="center"/>
              <w:rPr>
                <w:b/>
                <w:bCs/>
              </w:rPr>
            </w:pPr>
            <w:r w:rsidRPr="001F3020">
              <w:rPr>
                <w:b/>
                <w:bCs/>
              </w:rPr>
              <w:t>Pre-Condition</w:t>
            </w:r>
          </w:p>
        </w:tc>
        <w:tc>
          <w:tcPr>
            <w:tcW w:w="2925" w:type="dxa"/>
            <w:shd w:val="clear" w:color="auto" w:fill="E7E6E6" w:themeFill="background2"/>
            <w:vAlign w:val="center"/>
          </w:tcPr>
          <w:p w14:paraId="602A7FD4" w14:textId="77777777" w:rsidR="00D662AC" w:rsidRPr="001F3020" w:rsidRDefault="00D662AC" w:rsidP="00BF02DE">
            <w:pPr>
              <w:jc w:val="center"/>
              <w:rPr>
                <w:b/>
                <w:bCs/>
              </w:rPr>
            </w:pPr>
            <w:r w:rsidRPr="001F3020">
              <w:rPr>
                <w:b/>
                <w:bCs/>
              </w:rPr>
              <w:t>Post-Condition</w:t>
            </w:r>
          </w:p>
        </w:tc>
      </w:tr>
      <w:tr w:rsidR="00161413" w:rsidRPr="00374BCB" w14:paraId="7433ADA0" w14:textId="77777777" w:rsidTr="00161413">
        <w:tc>
          <w:tcPr>
            <w:tcW w:w="2925" w:type="dxa"/>
          </w:tcPr>
          <w:p w14:paraId="3FC7B6BA" w14:textId="0643DA43" w:rsidR="00161413" w:rsidRPr="00374BCB" w:rsidRDefault="00161413" w:rsidP="00BF02DE">
            <w:pPr>
              <w:pStyle w:val="TableText"/>
              <w:rPr>
                <w:sz w:val="22"/>
                <w:szCs w:val="22"/>
              </w:rPr>
            </w:pPr>
            <w:r>
              <w:rPr>
                <w:sz w:val="22"/>
                <w:szCs w:val="22"/>
              </w:rPr>
              <w:t>Utility or I</w:t>
            </w:r>
            <w:r w:rsidRPr="00374BCB">
              <w:rPr>
                <w:sz w:val="22"/>
                <w:szCs w:val="22"/>
              </w:rPr>
              <w:t xml:space="preserve">SO forecasts or observes an imbalance of load vs generation and transmits </w:t>
            </w:r>
            <w:r w:rsidR="009B05B4">
              <w:rPr>
                <w:sz w:val="22"/>
                <w:szCs w:val="22"/>
              </w:rPr>
              <w:t xml:space="preserve">V2G </w:t>
            </w:r>
            <w:r w:rsidR="003232C4">
              <w:rPr>
                <w:sz w:val="22"/>
                <w:szCs w:val="22"/>
              </w:rPr>
              <w:t>discharge</w:t>
            </w:r>
            <w:r w:rsidR="003C3D3C">
              <w:rPr>
                <w:sz w:val="22"/>
                <w:szCs w:val="22"/>
              </w:rPr>
              <w:t xml:space="preserve"> event notification</w:t>
            </w:r>
          </w:p>
        </w:tc>
        <w:tc>
          <w:tcPr>
            <w:tcW w:w="2925" w:type="dxa"/>
          </w:tcPr>
          <w:p w14:paraId="6BB9E51E" w14:textId="77777777" w:rsidR="00161413" w:rsidRPr="00374BCB" w:rsidRDefault="00161413" w:rsidP="00BF02DE">
            <w:pPr>
              <w:pStyle w:val="TableText"/>
              <w:rPr>
                <w:sz w:val="22"/>
                <w:szCs w:val="22"/>
              </w:rPr>
            </w:pPr>
            <w:r w:rsidRPr="00374BCB">
              <w:rPr>
                <w:sz w:val="22"/>
                <w:szCs w:val="22"/>
              </w:rPr>
              <w:t>Aggregator</w:t>
            </w:r>
          </w:p>
        </w:tc>
        <w:tc>
          <w:tcPr>
            <w:tcW w:w="2925" w:type="dxa"/>
          </w:tcPr>
          <w:p w14:paraId="0794AE8F" w14:textId="77777777" w:rsidR="00161413" w:rsidRDefault="00161413" w:rsidP="00BF02DE">
            <w:pPr>
              <w:pStyle w:val="TableText"/>
              <w:ind w:left="0"/>
              <w:rPr>
                <w:sz w:val="22"/>
                <w:szCs w:val="22"/>
              </w:rPr>
            </w:pPr>
            <w:r>
              <w:rPr>
                <w:sz w:val="22"/>
                <w:szCs w:val="22"/>
              </w:rPr>
              <w:t xml:space="preserve">Utility or ISO to </w:t>
            </w:r>
            <w:r w:rsidRPr="00374BCB">
              <w:rPr>
                <w:sz w:val="22"/>
                <w:szCs w:val="22"/>
              </w:rPr>
              <w:t xml:space="preserve">Aggregator/Customer Program contracts are in place. </w:t>
            </w:r>
          </w:p>
          <w:p w14:paraId="32D911F1" w14:textId="77777777" w:rsidR="003C3D3C" w:rsidRDefault="003C3D3C" w:rsidP="00BF02DE">
            <w:pPr>
              <w:pStyle w:val="TableText"/>
              <w:ind w:left="0"/>
              <w:rPr>
                <w:sz w:val="22"/>
                <w:szCs w:val="22"/>
              </w:rPr>
            </w:pPr>
          </w:p>
          <w:p w14:paraId="5597B126" w14:textId="21F86441" w:rsidR="003C3D3C" w:rsidRPr="00374BCB" w:rsidRDefault="003C3D3C" w:rsidP="00BF02DE">
            <w:pPr>
              <w:pStyle w:val="TableText"/>
              <w:ind w:left="0"/>
              <w:rPr>
                <w:sz w:val="22"/>
                <w:szCs w:val="22"/>
              </w:rPr>
            </w:pPr>
            <w:r>
              <w:rPr>
                <w:sz w:val="22"/>
                <w:szCs w:val="22"/>
              </w:rPr>
              <w:t>PEV is certified to provide V2G functionality</w:t>
            </w:r>
          </w:p>
        </w:tc>
        <w:tc>
          <w:tcPr>
            <w:tcW w:w="2925" w:type="dxa"/>
          </w:tcPr>
          <w:p w14:paraId="3773E562" w14:textId="63F86089" w:rsidR="00161413" w:rsidRPr="00374BCB" w:rsidRDefault="00161413" w:rsidP="00BF02DE">
            <w:pPr>
              <w:pStyle w:val="TableText"/>
              <w:rPr>
                <w:sz w:val="22"/>
                <w:szCs w:val="22"/>
              </w:rPr>
            </w:pPr>
            <w:r w:rsidRPr="00374BCB">
              <w:rPr>
                <w:sz w:val="22"/>
                <w:szCs w:val="22"/>
              </w:rPr>
              <w:t>Generation has been restored and the event has concluded.</w:t>
            </w:r>
          </w:p>
        </w:tc>
      </w:tr>
    </w:tbl>
    <w:p w14:paraId="6325EC05" w14:textId="77777777" w:rsidR="00D662AC" w:rsidRDefault="00D662AC" w:rsidP="00D662AC"/>
    <w:p w14:paraId="6515E2EB" w14:textId="79CA14B7" w:rsidR="00D662AC" w:rsidRPr="008D312D" w:rsidRDefault="00D662AC" w:rsidP="008D312D">
      <w:pPr>
        <w:pStyle w:val="Heading2"/>
      </w:pPr>
      <w:r>
        <w:t>Steps for this scenario</w:t>
      </w:r>
      <w:r w:rsidRPr="00E31C23">
        <w:rPr>
          <w:i/>
          <w:iCs/>
          <w:sz w:val="20"/>
          <w:szCs w:val="20"/>
        </w:rPr>
        <w:t xml:space="preserve"> </w:t>
      </w:r>
    </w:p>
    <w:p w14:paraId="13AF3E65" w14:textId="77777777" w:rsidR="00D662AC" w:rsidRPr="001F3020" w:rsidRDefault="00D662AC" w:rsidP="00D662AC"/>
    <w:tbl>
      <w:tblPr>
        <w:tblStyle w:val="TableGrid"/>
        <w:tblW w:w="11700" w:type="dxa"/>
        <w:tblInd w:w="-1175" w:type="dxa"/>
        <w:tblLook w:val="04A0" w:firstRow="1" w:lastRow="0" w:firstColumn="1" w:lastColumn="0" w:noHBand="0" w:noVBand="1"/>
      </w:tblPr>
      <w:tblGrid>
        <w:gridCol w:w="900"/>
        <w:gridCol w:w="1980"/>
        <w:gridCol w:w="5220"/>
        <w:gridCol w:w="3600"/>
      </w:tblGrid>
      <w:tr w:rsidR="00D662AC" w14:paraId="3539860C" w14:textId="77777777" w:rsidTr="003C3D3C">
        <w:trPr>
          <w:trHeight w:val="629"/>
        </w:trPr>
        <w:tc>
          <w:tcPr>
            <w:tcW w:w="900" w:type="dxa"/>
            <w:shd w:val="clear" w:color="auto" w:fill="E7E6E6" w:themeFill="background2"/>
            <w:vAlign w:val="center"/>
          </w:tcPr>
          <w:p w14:paraId="44F9672E" w14:textId="77777777" w:rsidR="00D662AC" w:rsidRPr="001F3020" w:rsidRDefault="00D662AC" w:rsidP="00BF02DE">
            <w:pPr>
              <w:jc w:val="center"/>
              <w:rPr>
                <w:b/>
                <w:bCs/>
              </w:rPr>
            </w:pPr>
            <w:r>
              <w:rPr>
                <w:b/>
                <w:bCs/>
              </w:rPr>
              <w:t>Step #</w:t>
            </w:r>
          </w:p>
        </w:tc>
        <w:tc>
          <w:tcPr>
            <w:tcW w:w="1980" w:type="dxa"/>
            <w:shd w:val="clear" w:color="auto" w:fill="E7E6E6" w:themeFill="background2"/>
            <w:vAlign w:val="center"/>
          </w:tcPr>
          <w:p w14:paraId="2EF83C49" w14:textId="77777777" w:rsidR="00D662AC" w:rsidRPr="001F3020" w:rsidRDefault="00D662AC" w:rsidP="00BF02DE">
            <w:pPr>
              <w:jc w:val="center"/>
              <w:rPr>
                <w:b/>
                <w:bCs/>
              </w:rPr>
            </w:pPr>
            <w:r>
              <w:rPr>
                <w:b/>
                <w:bCs/>
              </w:rPr>
              <w:t>Actor</w:t>
            </w:r>
          </w:p>
        </w:tc>
        <w:tc>
          <w:tcPr>
            <w:tcW w:w="5220" w:type="dxa"/>
            <w:shd w:val="clear" w:color="auto" w:fill="E7E6E6" w:themeFill="background2"/>
            <w:vAlign w:val="center"/>
          </w:tcPr>
          <w:p w14:paraId="042D7791" w14:textId="77777777" w:rsidR="00D662AC" w:rsidRPr="001F3020" w:rsidRDefault="00D662AC" w:rsidP="00BF02DE">
            <w:pPr>
              <w:jc w:val="center"/>
              <w:rPr>
                <w:b/>
                <w:bCs/>
              </w:rPr>
            </w:pPr>
            <w:r>
              <w:rPr>
                <w:b/>
                <w:bCs/>
              </w:rPr>
              <w:t>Description of the Step</w:t>
            </w:r>
          </w:p>
        </w:tc>
        <w:tc>
          <w:tcPr>
            <w:tcW w:w="3600" w:type="dxa"/>
            <w:shd w:val="clear" w:color="auto" w:fill="E7E6E6" w:themeFill="background2"/>
            <w:vAlign w:val="center"/>
          </w:tcPr>
          <w:p w14:paraId="5F50AE3F" w14:textId="77777777" w:rsidR="00D662AC" w:rsidRPr="001F3020" w:rsidRDefault="00D662AC" w:rsidP="00BF02DE">
            <w:pPr>
              <w:jc w:val="center"/>
              <w:rPr>
                <w:b/>
                <w:bCs/>
              </w:rPr>
            </w:pPr>
            <w:r>
              <w:rPr>
                <w:b/>
                <w:bCs/>
              </w:rPr>
              <w:t>Additional Notes</w:t>
            </w:r>
          </w:p>
        </w:tc>
      </w:tr>
      <w:tr w:rsidR="00D662AC" w14:paraId="10BB0BCE" w14:textId="77777777" w:rsidTr="009739B0">
        <w:trPr>
          <w:trHeight w:val="2114"/>
        </w:trPr>
        <w:tc>
          <w:tcPr>
            <w:tcW w:w="900" w:type="dxa"/>
          </w:tcPr>
          <w:p w14:paraId="526B0573" w14:textId="4A4A7F26" w:rsidR="00D662AC" w:rsidRDefault="008A347F" w:rsidP="00BF02DE">
            <w:r>
              <w:t>1</w:t>
            </w:r>
          </w:p>
        </w:tc>
        <w:tc>
          <w:tcPr>
            <w:tcW w:w="1980" w:type="dxa"/>
            <w:shd w:val="clear" w:color="auto" w:fill="auto"/>
          </w:tcPr>
          <w:p w14:paraId="6EBCF812" w14:textId="20FE0B18" w:rsidR="00D662AC" w:rsidRDefault="00460982" w:rsidP="00BF02DE">
            <w:r>
              <w:t>Utility / ISO</w:t>
            </w:r>
          </w:p>
        </w:tc>
        <w:tc>
          <w:tcPr>
            <w:tcW w:w="5220" w:type="dxa"/>
            <w:shd w:val="clear" w:color="auto" w:fill="auto"/>
          </w:tcPr>
          <w:p w14:paraId="6285CEF0" w14:textId="1CC2882A" w:rsidR="00D662AC" w:rsidRDefault="00593D35" w:rsidP="00BF02DE">
            <w:r w:rsidRPr="00374BCB">
              <w:rPr>
                <w:rFonts w:ascii="Arial" w:hAnsi="Arial" w:cs="Arial"/>
                <w:sz w:val="22"/>
                <w:szCs w:val="22"/>
              </w:rPr>
              <w:t>Observes or projects an imbalance of load vs generation</w:t>
            </w:r>
            <w:r>
              <w:rPr>
                <w:rFonts w:ascii="Arial" w:hAnsi="Arial" w:cs="Arial"/>
                <w:sz w:val="22"/>
                <w:szCs w:val="22"/>
              </w:rPr>
              <w:t>, determines</w:t>
            </w:r>
            <w:r w:rsidRPr="00374BCB">
              <w:rPr>
                <w:rFonts w:ascii="Arial" w:hAnsi="Arial" w:cs="Arial"/>
                <w:sz w:val="22"/>
                <w:szCs w:val="22"/>
              </w:rPr>
              <w:t xml:space="preserve"> and transmits </w:t>
            </w:r>
            <w:r>
              <w:rPr>
                <w:rFonts w:ascii="Arial" w:hAnsi="Arial" w:cs="Arial"/>
                <w:sz w:val="22"/>
                <w:szCs w:val="22"/>
              </w:rPr>
              <w:t xml:space="preserve">V2G </w:t>
            </w:r>
            <w:r w:rsidR="008A347F">
              <w:rPr>
                <w:rFonts w:ascii="Arial" w:hAnsi="Arial" w:cs="Arial"/>
                <w:sz w:val="22"/>
                <w:szCs w:val="22"/>
              </w:rPr>
              <w:t>discharge</w:t>
            </w:r>
            <w:r>
              <w:rPr>
                <w:rFonts w:ascii="Arial" w:hAnsi="Arial" w:cs="Arial"/>
                <w:sz w:val="22"/>
                <w:szCs w:val="22"/>
              </w:rPr>
              <w:t xml:space="preserve"> </w:t>
            </w:r>
            <w:r w:rsidRPr="00374BCB">
              <w:rPr>
                <w:rFonts w:ascii="Arial" w:hAnsi="Arial" w:cs="Arial"/>
                <w:sz w:val="22"/>
                <w:szCs w:val="22"/>
              </w:rPr>
              <w:t>signal utilizing utility industry applied communications protocol (OpenADR or IEEE2030.5) to the designated aggregators</w:t>
            </w:r>
            <w:r>
              <w:rPr>
                <w:rFonts w:ascii="Arial" w:hAnsi="Arial" w:cs="Arial"/>
                <w:sz w:val="22"/>
                <w:szCs w:val="22"/>
              </w:rPr>
              <w:t>. Signals can be region specific such as by SubLAP or Feeder</w:t>
            </w:r>
          </w:p>
        </w:tc>
        <w:tc>
          <w:tcPr>
            <w:tcW w:w="3600" w:type="dxa"/>
            <w:shd w:val="clear" w:color="auto" w:fill="auto"/>
          </w:tcPr>
          <w:p w14:paraId="00089725" w14:textId="77777777" w:rsidR="00593D35" w:rsidRDefault="00593D35" w:rsidP="00593D35">
            <w:pPr>
              <w:rPr>
                <w:rFonts w:ascii="Arial" w:hAnsi="Arial" w:cs="Arial"/>
                <w:sz w:val="22"/>
                <w:szCs w:val="22"/>
              </w:rPr>
            </w:pPr>
            <w:r w:rsidRPr="00374BCB">
              <w:rPr>
                <w:rFonts w:ascii="Arial" w:hAnsi="Arial" w:cs="Arial"/>
                <w:sz w:val="22"/>
                <w:szCs w:val="22"/>
              </w:rPr>
              <w:t>Signals can be day ahead or an hour ahead notifications</w:t>
            </w:r>
            <w:r>
              <w:rPr>
                <w:rFonts w:ascii="Arial" w:hAnsi="Arial" w:cs="Arial"/>
                <w:sz w:val="22"/>
                <w:szCs w:val="22"/>
              </w:rPr>
              <w:t xml:space="preserve">. </w:t>
            </w:r>
          </w:p>
          <w:p w14:paraId="649B0815" w14:textId="77777777" w:rsidR="00593D35" w:rsidRDefault="00593D35" w:rsidP="00593D35">
            <w:pPr>
              <w:rPr>
                <w:rFonts w:ascii="Arial" w:hAnsi="Arial" w:cs="Arial"/>
                <w:sz w:val="22"/>
                <w:szCs w:val="22"/>
              </w:rPr>
            </w:pPr>
          </w:p>
          <w:p w14:paraId="4260A587" w14:textId="2A91FCD3" w:rsidR="00D662AC" w:rsidRDefault="00593D35" w:rsidP="00593D35">
            <w:r>
              <w:rPr>
                <w:rFonts w:ascii="Arial" w:hAnsi="Arial" w:cs="Arial"/>
                <w:sz w:val="22"/>
                <w:szCs w:val="22"/>
              </w:rPr>
              <w:t>ISO or Schedule Coordinator transmission protocols may be other than Utility industry adopted protocol standards.</w:t>
            </w:r>
          </w:p>
        </w:tc>
      </w:tr>
      <w:tr w:rsidR="008A347F" w14:paraId="6BFD04D6" w14:textId="77777777" w:rsidTr="000C5D48">
        <w:trPr>
          <w:trHeight w:val="2960"/>
        </w:trPr>
        <w:tc>
          <w:tcPr>
            <w:tcW w:w="900" w:type="dxa"/>
          </w:tcPr>
          <w:p w14:paraId="72C0968E" w14:textId="7B123802" w:rsidR="008A347F" w:rsidRDefault="008A347F" w:rsidP="008A347F">
            <w:r>
              <w:t>2</w:t>
            </w:r>
          </w:p>
        </w:tc>
        <w:tc>
          <w:tcPr>
            <w:tcW w:w="1980" w:type="dxa"/>
            <w:shd w:val="clear" w:color="auto" w:fill="auto"/>
          </w:tcPr>
          <w:p w14:paraId="615CB2AE" w14:textId="0B63B966" w:rsidR="008A347F" w:rsidRDefault="008A347F" w:rsidP="008A347F">
            <w:r>
              <w:t>Aggregator</w:t>
            </w:r>
          </w:p>
        </w:tc>
        <w:tc>
          <w:tcPr>
            <w:tcW w:w="5220" w:type="dxa"/>
          </w:tcPr>
          <w:p w14:paraId="3C3FA909" w14:textId="715E8CEE" w:rsidR="008A347F" w:rsidRDefault="008A347F" w:rsidP="008A347F">
            <w:r w:rsidRPr="00374BCB">
              <w:rPr>
                <w:rFonts w:ascii="Arial" w:hAnsi="Arial" w:cs="Arial"/>
                <w:sz w:val="22"/>
                <w:szCs w:val="22"/>
              </w:rPr>
              <w:t xml:space="preserve">Receives </w:t>
            </w:r>
            <w:r w:rsidR="009739B0">
              <w:rPr>
                <w:rFonts w:ascii="Arial" w:hAnsi="Arial" w:cs="Arial"/>
                <w:sz w:val="22"/>
                <w:szCs w:val="22"/>
              </w:rPr>
              <w:t>V2G discharge signal</w:t>
            </w:r>
            <w:r w:rsidRPr="00374BCB">
              <w:rPr>
                <w:rFonts w:ascii="Arial" w:hAnsi="Arial" w:cs="Arial"/>
                <w:sz w:val="22"/>
                <w:szCs w:val="22"/>
              </w:rPr>
              <w:t xml:space="preserve"> from the utility</w:t>
            </w:r>
            <w:r>
              <w:rPr>
                <w:rFonts w:ascii="Arial" w:hAnsi="Arial" w:cs="Arial"/>
                <w:sz w:val="22"/>
                <w:szCs w:val="22"/>
              </w:rPr>
              <w:t>, ISO or Schedule Coordinator</w:t>
            </w:r>
            <w:r w:rsidRPr="00374BCB">
              <w:rPr>
                <w:rFonts w:ascii="Arial" w:hAnsi="Arial" w:cs="Arial"/>
                <w:sz w:val="22"/>
                <w:szCs w:val="22"/>
              </w:rPr>
              <w:t>, identifies plugged in PEVs</w:t>
            </w:r>
            <w:r w:rsidR="005F338F">
              <w:rPr>
                <w:rFonts w:ascii="Arial" w:hAnsi="Arial" w:cs="Arial"/>
                <w:sz w:val="22"/>
                <w:szCs w:val="22"/>
              </w:rPr>
              <w:t xml:space="preserve"> with V2G discharge capability</w:t>
            </w:r>
            <w:r>
              <w:rPr>
                <w:rFonts w:ascii="Arial" w:hAnsi="Arial" w:cs="Arial"/>
                <w:sz w:val="22"/>
                <w:szCs w:val="22"/>
              </w:rPr>
              <w:t xml:space="preserve"> in residential location</w:t>
            </w:r>
            <w:r w:rsidRPr="00374BCB">
              <w:rPr>
                <w:rFonts w:ascii="Arial" w:hAnsi="Arial" w:cs="Arial"/>
                <w:sz w:val="22"/>
                <w:szCs w:val="22"/>
              </w:rPr>
              <w:t xml:space="preserve"> </w:t>
            </w:r>
            <w:r>
              <w:rPr>
                <w:rFonts w:ascii="Arial" w:hAnsi="Arial" w:cs="Arial"/>
                <w:sz w:val="22"/>
                <w:szCs w:val="22"/>
              </w:rPr>
              <w:t xml:space="preserve">per designated region </w:t>
            </w:r>
            <w:r w:rsidRPr="00374BCB">
              <w:rPr>
                <w:rFonts w:ascii="Arial" w:hAnsi="Arial" w:cs="Arial"/>
                <w:sz w:val="22"/>
                <w:szCs w:val="22"/>
              </w:rPr>
              <w:t>and transmits signal to PEV either through the EVSE or directly to the PEV</w:t>
            </w:r>
            <w:r w:rsidR="00E81B76">
              <w:rPr>
                <w:rFonts w:ascii="Arial" w:hAnsi="Arial" w:cs="Arial"/>
                <w:sz w:val="22"/>
                <w:szCs w:val="22"/>
              </w:rPr>
              <w:t xml:space="preserve"> </w:t>
            </w:r>
            <w:r w:rsidR="00E81B76">
              <w:rPr>
                <w:rFonts w:ascii="Arial" w:hAnsi="Arial" w:cs="Arial"/>
                <w:sz w:val="22"/>
                <w:szCs w:val="22"/>
              </w:rPr>
              <w:t>which can be through the OEM cloud server to the PEV via telematics.</w:t>
            </w:r>
          </w:p>
        </w:tc>
        <w:tc>
          <w:tcPr>
            <w:tcW w:w="3600" w:type="dxa"/>
          </w:tcPr>
          <w:p w14:paraId="0C3445C2" w14:textId="5FBB4BEB" w:rsidR="009739B0" w:rsidRDefault="008A347F" w:rsidP="007F1336">
            <w:pPr>
              <w:rPr>
                <w:rFonts w:ascii="Arial" w:hAnsi="Arial" w:cs="Arial"/>
                <w:sz w:val="22"/>
                <w:szCs w:val="22"/>
              </w:rPr>
            </w:pPr>
            <w:r w:rsidRPr="00374BCB">
              <w:rPr>
                <w:rFonts w:ascii="Arial" w:hAnsi="Arial" w:cs="Arial"/>
                <w:sz w:val="22"/>
                <w:szCs w:val="22"/>
              </w:rPr>
              <w:t xml:space="preserve">Requires notification of </w:t>
            </w:r>
            <w:r w:rsidR="007F1336">
              <w:rPr>
                <w:rFonts w:ascii="Arial" w:hAnsi="Arial" w:cs="Arial"/>
                <w:sz w:val="22"/>
                <w:szCs w:val="22"/>
              </w:rPr>
              <w:t>V2G discharge</w:t>
            </w:r>
            <w:r>
              <w:rPr>
                <w:rFonts w:ascii="Arial" w:hAnsi="Arial" w:cs="Arial"/>
                <w:sz w:val="22"/>
                <w:szCs w:val="22"/>
              </w:rPr>
              <w:t xml:space="preserve"> </w:t>
            </w:r>
            <w:r w:rsidRPr="00374BCB">
              <w:rPr>
                <w:rFonts w:ascii="Arial" w:hAnsi="Arial" w:cs="Arial"/>
                <w:sz w:val="22"/>
                <w:szCs w:val="22"/>
              </w:rPr>
              <w:t>event to the Customer to exercise right to opt out. Customer preferences can be preset in the PE</w:t>
            </w:r>
            <w:r>
              <w:rPr>
                <w:rFonts w:ascii="Arial" w:hAnsi="Arial" w:cs="Arial"/>
                <w:sz w:val="22"/>
                <w:szCs w:val="22"/>
              </w:rPr>
              <w:t>V</w:t>
            </w:r>
          </w:p>
          <w:p w14:paraId="2F5C6857" w14:textId="77777777" w:rsidR="007F1336" w:rsidRDefault="007F1336" w:rsidP="007F1336">
            <w:pPr>
              <w:rPr>
                <w:rFonts w:ascii="Arial" w:hAnsi="Arial" w:cs="Arial"/>
                <w:sz w:val="22"/>
                <w:szCs w:val="22"/>
              </w:rPr>
            </w:pPr>
          </w:p>
          <w:p w14:paraId="7144805B" w14:textId="12234BF5" w:rsidR="009739B0" w:rsidRDefault="00F43DC7" w:rsidP="008A347F">
            <w:r>
              <w:rPr>
                <w:rFonts w:ascii="Arial" w:hAnsi="Arial" w:cs="Arial"/>
                <w:sz w:val="22"/>
                <w:szCs w:val="22"/>
              </w:rPr>
              <w:t>Use Case</w:t>
            </w:r>
            <w:r w:rsidR="007F1336">
              <w:rPr>
                <w:rFonts w:ascii="Arial" w:hAnsi="Arial" w:cs="Arial"/>
                <w:sz w:val="22"/>
                <w:szCs w:val="22"/>
              </w:rPr>
              <w:t xml:space="preserve"> Scenario required for authenticating</w:t>
            </w:r>
            <w:r w:rsidR="009739B0">
              <w:rPr>
                <w:rFonts w:ascii="Arial" w:hAnsi="Arial" w:cs="Arial"/>
                <w:sz w:val="22"/>
                <w:szCs w:val="22"/>
              </w:rPr>
              <w:t xml:space="preserve"> the certification </w:t>
            </w:r>
            <w:r>
              <w:rPr>
                <w:rFonts w:ascii="Arial" w:hAnsi="Arial" w:cs="Arial"/>
                <w:sz w:val="22"/>
                <w:szCs w:val="22"/>
              </w:rPr>
              <w:t>and communication functionality for</w:t>
            </w:r>
            <w:r w:rsidR="009739B0">
              <w:rPr>
                <w:rFonts w:ascii="Arial" w:hAnsi="Arial" w:cs="Arial"/>
                <w:sz w:val="22"/>
                <w:szCs w:val="22"/>
              </w:rPr>
              <w:t xml:space="preserve"> PEV inverter</w:t>
            </w:r>
            <w:r>
              <w:rPr>
                <w:rFonts w:ascii="Arial" w:hAnsi="Arial" w:cs="Arial"/>
                <w:sz w:val="22"/>
                <w:szCs w:val="22"/>
              </w:rPr>
              <w:t>s</w:t>
            </w:r>
            <w:r w:rsidR="009739B0">
              <w:rPr>
                <w:rFonts w:ascii="Arial" w:hAnsi="Arial" w:cs="Arial"/>
                <w:sz w:val="22"/>
                <w:szCs w:val="22"/>
              </w:rPr>
              <w:t xml:space="preserve"> to provide V2G services to the grid at time of plug in to the EVSE. </w:t>
            </w:r>
          </w:p>
        </w:tc>
      </w:tr>
      <w:tr w:rsidR="000C5D48" w14:paraId="6EE3D996" w14:textId="77777777" w:rsidTr="000C5D48">
        <w:trPr>
          <w:trHeight w:val="1430"/>
        </w:trPr>
        <w:tc>
          <w:tcPr>
            <w:tcW w:w="900" w:type="dxa"/>
          </w:tcPr>
          <w:p w14:paraId="64AF8797" w14:textId="5BC23354" w:rsidR="000C5D48" w:rsidRDefault="000C5D48" w:rsidP="000C5D48">
            <w:r>
              <w:t>3</w:t>
            </w:r>
          </w:p>
        </w:tc>
        <w:tc>
          <w:tcPr>
            <w:tcW w:w="1980" w:type="dxa"/>
            <w:shd w:val="clear" w:color="auto" w:fill="auto"/>
          </w:tcPr>
          <w:p w14:paraId="3CF1A3D1" w14:textId="17C81F6C" w:rsidR="000C5D48" w:rsidRDefault="000C5D48" w:rsidP="000C5D48">
            <w:r>
              <w:t>PEV</w:t>
            </w:r>
          </w:p>
        </w:tc>
        <w:tc>
          <w:tcPr>
            <w:tcW w:w="5220" w:type="dxa"/>
          </w:tcPr>
          <w:p w14:paraId="1D265B59" w14:textId="4A15683C" w:rsidR="000C5D48" w:rsidRDefault="000C5D48" w:rsidP="000C5D48">
            <w:r w:rsidRPr="00374BCB">
              <w:rPr>
                <w:rFonts w:ascii="Arial" w:hAnsi="Arial" w:cs="Arial"/>
                <w:sz w:val="22"/>
                <w:szCs w:val="22"/>
              </w:rPr>
              <w:t xml:space="preserve">Receives the </w:t>
            </w:r>
            <w:r>
              <w:rPr>
                <w:rFonts w:ascii="Arial" w:hAnsi="Arial" w:cs="Arial"/>
                <w:sz w:val="22"/>
                <w:szCs w:val="22"/>
              </w:rPr>
              <w:t xml:space="preserve">V2G discharge </w:t>
            </w:r>
            <w:r w:rsidRPr="00374BCB">
              <w:rPr>
                <w:rFonts w:ascii="Arial" w:hAnsi="Arial" w:cs="Arial"/>
                <w:sz w:val="22"/>
                <w:szCs w:val="22"/>
              </w:rPr>
              <w:t xml:space="preserve">signal from the aggregator and </w:t>
            </w:r>
            <w:r>
              <w:rPr>
                <w:rFonts w:ascii="Arial" w:hAnsi="Arial" w:cs="Arial"/>
                <w:sz w:val="22"/>
                <w:szCs w:val="22"/>
              </w:rPr>
              <w:t>initiates discharge to the grid</w:t>
            </w:r>
            <w:r w:rsidRPr="00374BCB">
              <w:rPr>
                <w:rFonts w:ascii="Arial" w:hAnsi="Arial" w:cs="Arial"/>
                <w:sz w:val="22"/>
                <w:szCs w:val="22"/>
              </w:rPr>
              <w:t xml:space="preserve"> based on customer preferences</w:t>
            </w:r>
            <w:r w:rsidR="00A447FF">
              <w:rPr>
                <w:rFonts w:ascii="Arial" w:hAnsi="Arial" w:cs="Arial"/>
                <w:sz w:val="22"/>
                <w:szCs w:val="22"/>
              </w:rPr>
              <w:t xml:space="preserve"> and available SOC capacity</w:t>
            </w:r>
          </w:p>
        </w:tc>
        <w:tc>
          <w:tcPr>
            <w:tcW w:w="3600" w:type="dxa"/>
          </w:tcPr>
          <w:p w14:paraId="638B37AD" w14:textId="3B0E825B" w:rsidR="000C5D48" w:rsidRDefault="000C5D48" w:rsidP="000C5D48">
            <w:r w:rsidRPr="00374BCB">
              <w:rPr>
                <w:rFonts w:ascii="Arial" w:hAnsi="Arial" w:cs="Arial"/>
                <w:sz w:val="22"/>
                <w:szCs w:val="22"/>
              </w:rPr>
              <w:t>PEV, based on customer settings (time charge is needed) can automatically opt in or opt out of event</w:t>
            </w:r>
          </w:p>
        </w:tc>
      </w:tr>
    </w:tbl>
    <w:p w14:paraId="5885FAEC" w14:textId="77777777" w:rsidR="00D662AC" w:rsidRDefault="00D662AC" w:rsidP="00D662AC"/>
    <w:p w14:paraId="09E03455" w14:textId="662F8A79" w:rsidR="001F3020" w:rsidRPr="00C16B1D" w:rsidRDefault="00AC4931" w:rsidP="00903557">
      <w:pPr>
        <w:tabs>
          <w:tab w:val="left" w:pos="2746"/>
        </w:tabs>
        <w:jc w:val="both"/>
        <w:rPr>
          <w:rFonts w:ascii="Arial" w:hAnsi="Arial" w:cs="Arial"/>
          <w:sz w:val="22"/>
          <w:szCs w:val="22"/>
        </w:rPr>
      </w:pPr>
      <w:r w:rsidRPr="00C16B1D">
        <w:rPr>
          <w:rFonts w:ascii="Arial" w:hAnsi="Arial" w:cs="Arial"/>
          <w:sz w:val="22"/>
          <w:szCs w:val="22"/>
        </w:rPr>
        <w:t xml:space="preserve">V2G is to be classified as a distributed energy resource (DER) in this circumstance and can be aggregated for participation in CAISO wholesale energy market services (i.e. DERP). </w:t>
      </w:r>
      <w:r w:rsidR="00903557" w:rsidRPr="00C16B1D">
        <w:rPr>
          <w:rFonts w:ascii="Arial" w:hAnsi="Arial" w:cs="Arial"/>
          <w:sz w:val="22"/>
          <w:szCs w:val="22"/>
        </w:rPr>
        <w:t xml:space="preserve">This requires </w:t>
      </w:r>
      <w:r w:rsidR="009C32C8" w:rsidRPr="00C16B1D">
        <w:rPr>
          <w:rFonts w:ascii="Arial" w:hAnsi="Arial" w:cs="Arial"/>
          <w:sz w:val="22"/>
          <w:szCs w:val="22"/>
        </w:rPr>
        <w:t>the aggregator to provide PEV discharge</w:t>
      </w:r>
      <w:r w:rsidR="00903557" w:rsidRPr="00C16B1D">
        <w:rPr>
          <w:rFonts w:ascii="Arial" w:hAnsi="Arial" w:cs="Arial"/>
          <w:sz w:val="22"/>
          <w:szCs w:val="22"/>
        </w:rPr>
        <w:t xml:space="preserve"> capacity bids based on projected availability and access to plugged in PEVs per day and time (hourly increments). Bids can be week ahead </w:t>
      </w:r>
      <w:r w:rsidR="00903557" w:rsidRPr="00C16B1D">
        <w:rPr>
          <w:rFonts w:ascii="Arial" w:hAnsi="Arial" w:cs="Arial"/>
          <w:sz w:val="22"/>
          <w:szCs w:val="22"/>
        </w:rPr>
        <w:lastRenderedPageBreak/>
        <w:t>or day ahead depending on the program terms and conditions for participation. Aggregator will have to implement and comply with the program measurement and verification requirements to facilitate pay</w:t>
      </w:r>
      <w:r w:rsidR="00B741E7" w:rsidRPr="00C16B1D">
        <w:rPr>
          <w:rFonts w:ascii="Arial" w:hAnsi="Arial" w:cs="Arial"/>
          <w:sz w:val="22"/>
          <w:szCs w:val="22"/>
        </w:rPr>
        <w:t>ment settlement for the</w:t>
      </w:r>
      <w:r w:rsidR="00903557" w:rsidRPr="00C16B1D">
        <w:rPr>
          <w:rFonts w:ascii="Arial" w:hAnsi="Arial" w:cs="Arial"/>
          <w:sz w:val="22"/>
          <w:szCs w:val="22"/>
        </w:rPr>
        <w:t xml:space="preserve"> transactions.</w:t>
      </w:r>
    </w:p>
    <w:sectPr w:rsidR="001F3020" w:rsidRPr="00C16B1D" w:rsidSect="00B82294">
      <w:footerReference w:type="default" r:id="rId7"/>
      <w:pgSz w:w="12240" w:h="15840"/>
      <w:pgMar w:top="1440" w:right="1440" w:bottom="1440" w:left="1440" w:header="720" w:footer="720" w:gutter="0"/>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16828" w14:textId="77777777" w:rsidR="0056256B" w:rsidRDefault="0056256B" w:rsidP="00017DD3">
      <w:r>
        <w:separator/>
      </w:r>
    </w:p>
  </w:endnote>
  <w:endnote w:type="continuationSeparator" w:id="0">
    <w:p w14:paraId="7A97C8AD" w14:textId="77777777" w:rsidR="0056256B" w:rsidRDefault="0056256B" w:rsidP="0001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348042"/>
      <w:docPartObj>
        <w:docPartGallery w:val="Page Numbers (Bottom of Page)"/>
        <w:docPartUnique/>
      </w:docPartObj>
    </w:sdtPr>
    <w:sdtEndPr>
      <w:rPr>
        <w:noProof/>
      </w:rPr>
    </w:sdtEndPr>
    <w:sdtContent>
      <w:p w14:paraId="28BD6DA5" w14:textId="38D9465E" w:rsidR="00D662AC" w:rsidRDefault="00D662AC">
        <w:pPr>
          <w:pStyle w:val="Footer"/>
          <w:jc w:val="right"/>
        </w:pPr>
        <w:r>
          <w:fldChar w:fldCharType="begin"/>
        </w:r>
        <w:r>
          <w:instrText xml:space="preserve"> PAGE   \* MERGEFORMAT </w:instrText>
        </w:r>
        <w:r>
          <w:fldChar w:fldCharType="separate"/>
        </w:r>
        <w:r w:rsidR="00093406">
          <w:rPr>
            <w:noProof/>
          </w:rPr>
          <w:t>7</w:t>
        </w:r>
        <w:r>
          <w:rPr>
            <w:noProof/>
          </w:rPr>
          <w:fldChar w:fldCharType="end"/>
        </w:r>
      </w:p>
    </w:sdtContent>
  </w:sdt>
  <w:p w14:paraId="3356D3FE" w14:textId="77777777" w:rsidR="00D662AC" w:rsidRDefault="00D662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F7838" w14:textId="77777777" w:rsidR="0056256B" w:rsidRDefault="0056256B" w:rsidP="00017DD3">
      <w:r>
        <w:separator/>
      </w:r>
    </w:p>
  </w:footnote>
  <w:footnote w:type="continuationSeparator" w:id="0">
    <w:p w14:paraId="5826EB8F" w14:textId="77777777" w:rsidR="0056256B" w:rsidRDefault="0056256B" w:rsidP="00017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9567CD"/>
    <w:multiLevelType w:val="hybridMultilevel"/>
    <w:tmpl w:val="D2EE8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07376"/>
    <w:multiLevelType w:val="hybridMultilevel"/>
    <w:tmpl w:val="A74461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750619"/>
    <w:multiLevelType w:val="hybridMultilevel"/>
    <w:tmpl w:val="3ADA2B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C73E06"/>
    <w:multiLevelType w:val="multilevel"/>
    <w:tmpl w:val="6430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6E"/>
    <w:rsid w:val="000009D2"/>
    <w:rsid w:val="00004DDF"/>
    <w:rsid w:val="00017454"/>
    <w:rsid w:val="00017DD3"/>
    <w:rsid w:val="00080B90"/>
    <w:rsid w:val="00093406"/>
    <w:rsid w:val="000C4CD7"/>
    <w:rsid w:val="000C5D48"/>
    <w:rsid w:val="000E0837"/>
    <w:rsid w:val="000F50A0"/>
    <w:rsid w:val="001443F3"/>
    <w:rsid w:val="00151742"/>
    <w:rsid w:val="0015314A"/>
    <w:rsid w:val="00161413"/>
    <w:rsid w:val="00180BBE"/>
    <w:rsid w:val="001A39E0"/>
    <w:rsid w:val="001C77E7"/>
    <w:rsid w:val="001D5DFE"/>
    <w:rsid w:val="001F3020"/>
    <w:rsid w:val="00206F40"/>
    <w:rsid w:val="0020792E"/>
    <w:rsid w:val="0029034B"/>
    <w:rsid w:val="00291B5A"/>
    <w:rsid w:val="002A0AB9"/>
    <w:rsid w:val="002C2CD0"/>
    <w:rsid w:val="00316A7A"/>
    <w:rsid w:val="003232C4"/>
    <w:rsid w:val="0034398E"/>
    <w:rsid w:val="003605C0"/>
    <w:rsid w:val="00365E18"/>
    <w:rsid w:val="003712D7"/>
    <w:rsid w:val="00374BCB"/>
    <w:rsid w:val="003B6FCF"/>
    <w:rsid w:val="003C3D3C"/>
    <w:rsid w:val="003C67A9"/>
    <w:rsid w:val="003E0234"/>
    <w:rsid w:val="00406C44"/>
    <w:rsid w:val="004071CB"/>
    <w:rsid w:val="00445ADE"/>
    <w:rsid w:val="00460982"/>
    <w:rsid w:val="00480DCF"/>
    <w:rsid w:val="00483940"/>
    <w:rsid w:val="004B7116"/>
    <w:rsid w:val="004C4A1F"/>
    <w:rsid w:val="004D1FFD"/>
    <w:rsid w:val="004E2EEC"/>
    <w:rsid w:val="005528B6"/>
    <w:rsid w:val="0056256B"/>
    <w:rsid w:val="00590915"/>
    <w:rsid w:val="00593D35"/>
    <w:rsid w:val="005B1FCC"/>
    <w:rsid w:val="005C29AC"/>
    <w:rsid w:val="005D5DB3"/>
    <w:rsid w:val="005F338F"/>
    <w:rsid w:val="005F7685"/>
    <w:rsid w:val="00631579"/>
    <w:rsid w:val="00641435"/>
    <w:rsid w:val="00646F53"/>
    <w:rsid w:val="0065034F"/>
    <w:rsid w:val="006806BA"/>
    <w:rsid w:val="006961AE"/>
    <w:rsid w:val="006A4C59"/>
    <w:rsid w:val="006B30DB"/>
    <w:rsid w:val="006F1088"/>
    <w:rsid w:val="006F7EBC"/>
    <w:rsid w:val="007644E1"/>
    <w:rsid w:val="00770D9F"/>
    <w:rsid w:val="007C749D"/>
    <w:rsid w:val="007F1336"/>
    <w:rsid w:val="00866CAA"/>
    <w:rsid w:val="008A347F"/>
    <w:rsid w:val="008B087A"/>
    <w:rsid w:val="008B3758"/>
    <w:rsid w:val="008D312D"/>
    <w:rsid w:val="008E1C99"/>
    <w:rsid w:val="008F25CE"/>
    <w:rsid w:val="00903557"/>
    <w:rsid w:val="009421B9"/>
    <w:rsid w:val="009739B0"/>
    <w:rsid w:val="0099215C"/>
    <w:rsid w:val="00996FF1"/>
    <w:rsid w:val="009B05B4"/>
    <w:rsid w:val="009C32C8"/>
    <w:rsid w:val="00A20A2A"/>
    <w:rsid w:val="00A30CA7"/>
    <w:rsid w:val="00A447FF"/>
    <w:rsid w:val="00A51E31"/>
    <w:rsid w:val="00A774E4"/>
    <w:rsid w:val="00AB626C"/>
    <w:rsid w:val="00AC189D"/>
    <w:rsid w:val="00AC4931"/>
    <w:rsid w:val="00AD0762"/>
    <w:rsid w:val="00AE671A"/>
    <w:rsid w:val="00AF522A"/>
    <w:rsid w:val="00B40E82"/>
    <w:rsid w:val="00B741E7"/>
    <w:rsid w:val="00B82294"/>
    <w:rsid w:val="00C16B1D"/>
    <w:rsid w:val="00C64E52"/>
    <w:rsid w:val="00C92335"/>
    <w:rsid w:val="00D008F5"/>
    <w:rsid w:val="00D22365"/>
    <w:rsid w:val="00D55549"/>
    <w:rsid w:val="00D662AC"/>
    <w:rsid w:val="00D70302"/>
    <w:rsid w:val="00D72C59"/>
    <w:rsid w:val="00D91C0E"/>
    <w:rsid w:val="00D9386E"/>
    <w:rsid w:val="00DB5737"/>
    <w:rsid w:val="00DE366A"/>
    <w:rsid w:val="00DE65C4"/>
    <w:rsid w:val="00E31C23"/>
    <w:rsid w:val="00E4745C"/>
    <w:rsid w:val="00E6520F"/>
    <w:rsid w:val="00E81B76"/>
    <w:rsid w:val="00ED0B51"/>
    <w:rsid w:val="00EE0C10"/>
    <w:rsid w:val="00F101B9"/>
    <w:rsid w:val="00F43DC7"/>
    <w:rsid w:val="00F53C31"/>
    <w:rsid w:val="00FC79B6"/>
    <w:rsid w:val="00FF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3C4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302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F30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93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F302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02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F302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F3020"/>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rsid w:val="001A39E0"/>
  </w:style>
  <w:style w:type="paragraph" w:styleId="Header">
    <w:name w:val="header"/>
    <w:basedOn w:val="Normal"/>
    <w:link w:val="HeaderChar"/>
    <w:uiPriority w:val="99"/>
    <w:unhideWhenUsed/>
    <w:rsid w:val="00017DD3"/>
    <w:pPr>
      <w:tabs>
        <w:tab w:val="center" w:pos="4680"/>
        <w:tab w:val="right" w:pos="9360"/>
      </w:tabs>
    </w:pPr>
  </w:style>
  <w:style w:type="character" w:customStyle="1" w:styleId="HeaderChar">
    <w:name w:val="Header Char"/>
    <w:basedOn w:val="DefaultParagraphFont"/>
    <w:link w:val="Header"/>
    <w:uiPriority w:val="99"/>
    <w:rsid w:val="00017DD3"/>
  </w:style>
  <w:style w:type="paragraph" w:styleId="Footer">
    <w:name w:val="footer"/>
    <w:basedOn w:val="Normal"/>
    <w:link w:val="FooterChar"/>
    <w:uiPriority w:val="99"/>
    <w:unhideWhenUsed/>
    <w:rsid w:val="00017DD3"/>
    <w:pPr>
      <w:tabs>
        <w:tab w:val="center" w:pos="4680"/>
        <w:tab w:val="right" w:pos="9360"/>
      </w:tabs>
    </w:pPr>
  </w:style>
  <w:style w:type="character" w:customStyle="1" w:styleId="FooterChar">
    <w:name w:val="Footer Char"/>
    <w:basedOn w:val="DefaultParagraphFont"/>
    <w:link w:val="Footer"/>
    <w:uiPriority w:val="99"/>
    <w:rsid w:val="00017DD3"/>
  </w:style>
  <w:style w:type="paragraph" w:styleId="ListParagraph">
    <w:name w:val="List Paragraph"/>
    <w:basedOn w:val="Normal"/>
    <w:uiPriority w:val="34"/>
    <w:qFormat/>
    <w:rsid w:val="00017DD3"/>
    <w:pPr>
      <w:ind w:left="720"/>
      <w:contextualSpacing/>
    </w:pPr>
  </w:style>
  <w:style w:type="paragraph" w:customStyle="1" w:styleId="TableText">
    <w:name w:val="Table Text"/>
    <w:basedOn w:val="BodyText"/>
    <w:rsid w:val="008F25CE"/>
    <w:pPr>
      <w:overflowPunct w:val="0"/>
      <w:autoSpaceDE w:val="0"/>
      <w:autoSpaceDN w:val="0"/>
      <w:adjustRightInd w:val="0"/>
      <w:spacing w:before="40" w:after="40"/>
      <w:ind w:left="28" w:right="28"/>
      <w:textAlignment w:val="baseline"/>
    </w:pPr>
    <w:rPr>
      <w:rFonts w:ascii="Arial" w:eastAsia="Times New Roman" w:hAnsi="Arial" w:cs="Times New Roman"/>
      <w:sz w:val="20"/>
      <w:szCs w:val="20"/>
      <w:lang w:eastAsia="en-US"/>
    </w:rPr>
  </w:style>
  <w:style w:type="paragraph" w:styleId="BodyText">
    <w:name w:val="Body Text"/>
    <w:basedOn w:val="Normal"/>
    <w:link w:val="BodyTextChar"/>
    <w:uiPriority w:val="99"/>
    <w:semiHidden/>
    <w:unhideWhenUsed/>
    <w:rsid w:val="008F25CE"/>
    <w:pPr>
      <w:spacing w:after="120"/>
    </w:pPr>
  </w:style>
  <w:style w:type="character" w:customStyle="1" w:styleId="BodyTextChar">
    <w:name w:val="Body Text Char"/>
    <w:basedOn w:val="DefaultParagraphFont"/>
    <w:link w:val="BodyText"/>
    <w:uiPriority w:val="99"/>
    <w:semiHidden/>
    <w:rsid w:val="008F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7</Pages>
  <Words>2078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DeLeon</dc:creator>
  <cp:keywords/>
  <dc:description/>
  <cp:lastModifiedBy>George Bellino</cp:lastModifiedBy>
  <cp:revision>51</cp:revision>
  <dcterms:created xsi:type="dcterms:W3CDTF">2017-06-02T08:02:00Z</dcterms:created>
  <dcterms:modified xsi:type="dcterms:W3CDTF">2017-06-02T16:09:00Z</dcterms:modified>
</cp:coreProperties>
</file>